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8C38" w14:textId="77777777" w:rsidR="00812907" w:rsidRDefault="00812907" w:rsidP="00812907">
      <w:pPr>
        <w:pStyle w:val="Heading1"/>
      </w:pPr>
      <w:bookmarkStart w:id="0" w:name="_Toc221694680"/>
      <w:bookmarkStart w:id="1" w:name="_Toc223883680"/>
      <w:bookmarkStart w:id="2" w:name="_Toc223885208"/>
      <w:bookmarkStart w:id="3" w:name="_Toc223885232"/>
      <w:bookmarkStart w:id="4" w:name="_Toc223887576"/>
      <w:bookmarkStart w:id="5" w:name="_Toc223944214"/>
      <w:bookmarkStart w:id="6" w:name="_Toc223944303"/>
      <w:r w:rsidRPr="002A2FD7">
        <w:t>Evidence to Action</w:t>
      </w:r>
      <w:r>
        <w:t xml:space="preserve"> Briefing Note</w:t>
      </w:r>
      <w:bookmarkEnd w:id="3"/>
      <w:bookmarkEnd w:id="4"/>
      <w:bookmarkEnd w:id="5"/>
      <w:bookmarkEnd w:id="6"/>
    </w:p>
    <w:p w14:paraId="6F820DE4" w14:textId="77777777" w:rsidR="00812907" w:rsidRPr="002A2FD7" w:rsidRDefault="00812907" w:rsidP="00812907">
      <w:pPr>
        <w:pStyle w:val="Heading2"/>
      </w:pPr>
      <w:bookmarkStart w:id="7" w:name="_Toc223885233"/>
      <w:bookmarkStart w:id="8" w:name="_Toc223887577"/>
      <w:bookmarkStart w:id="9" w:name="_Toc223944215"/>
      <w:bookmarkStart w:id="10" w:name="_Toc223944304"/>
      <w:r w:rsidRPr="00B13BF9">
        <w:t>Accessible and Inclusive Communities</w:t>
      </w:r>
      <w:bookmarkEnd w:id="7"/>
      <w:bookmarkEnd w:id="8"/>
      <w:bookmarkEnd w:id="9"/>
      <w:bookmarkEnd w:id="10"/>
    </w:p>
    <w:p w14:paraId="165EABEB" w14:textId="7C1D7295" w:rsidR="00812907" w:rsidRDefault="00EB577C" w:rsidP="00812907">
      <w:pPr>
        <w:pStyle w:val="Heading3"/>
      </w:pPr>
      <w:r>
        <w:rPr>
          <w:rFonts w:eastAsia="DengXian"/>
        </w:rPr>
        <w:t>March 2026</w:t>
      </w:r>
      <w:bookmarkEnd w:id="1"/>
      <w:bookmarkEnd w:id="2"/>
    </w:p>
    <w:p w14:paraId="02ACD9F1" w14:textId="099BDD69" w:rsidR="00B82601" w:rsidRDefault="00812907">
      <w:pPr>
        <w:pStyle w:val="TOC1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23944305" w:history="1">
        <w:r w:rsidR="00B82601" w:rsidRPr="008137AF">
          <w:rPr>
            <w:rStyle w:val="Hyperlink"/>
            <w:noProof/>
          </w:rPr>
          <w:t>Evidence to Action Briefing Note</w:t>
        </w:r>
        <w:r w:rsidR="00B82601">
          <w:rPr>
            <w:noProof/>
            <w:webHidden/>
          </w:rPr>
          <w:tab/>
        </w:r>
        <w:r w:rsidR="00B82601">
          <w:rPr>
            <w:noProof/>
            <w:webHidden/>
          </w:rPr>
          <w:fldChar w:fldCharType="begin"/>
        </w:r>
        <w:r w:rsidR="00B82601">
          <w:rPr>
            <w:noProof/>
            <w:webHidden/>
          </w:rPr>
          <w:instrText xml:space="preserve"> PAGEREF _Toc223944305 \h </w:instrText>
        </w:r>
        <w:r w:rsidR="00B82601">
          <w:rPr>
            <w:noProof/>
            <w:webHidden/>
          </w:rPr>
        </w:r>
        <w:r w:rsidR="00B82601">
          <w:rPr>
            <w:noProof/>
            <w:webHidden/>
          </w:rPr>
          <w:fldChar w:fldCharType="separate"/>
        </w:r>
        <w:r w:rsidR="00B82601">
          <w:rPr>
            <w:noProof/>
            <w:webHidden/>
          </w:rPr>
          <w:t>2</w:t>
        </w:r>
        <w:r w:rsidR="00B82601">
          <w:rPr>
            <w:noProof/>
            <w:webHidden/>
          </w:rPr>
          <w:fldChar w:fldCharType="end"/>
        </w:r>
      </w:hyperlink>
    </w:p>
    <w:p w14:paraId="3C3198C4" w14:textId="6FCCA50E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06" w:history="1">
        <w:r w:rsidRPr="008137AF">
          <w:rPr>
            <w:rStyle w:val="Hyperlink"/>
            <w:noProof/>
          </w:rPr>
          <w:t>Accessible and Inclusive Communities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BE631B" w14:textId="212DFFA8" w:rsidR="00B82601" w:rsidRDefault="00B82601">
      <w:pPr>
        <w:pStyle w:val="TOC1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07" w:history="1">
        <w:r w:rsidRPr="008137AF">
          <w:rPr>
            <w:rStyle w:val="Hyperlink"/>
            <w:noProof/>
          </w:rPr>
          <w:t>Using research to influence systems 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ECF3BB" w14:textId="5BBC35CD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08" w:history="1">
        <w:r w:rsidRPr="008137AF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4EF625" w14:textId="781D631C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09" w:history="1">
        <w:r w:rsidRPr="008137AF">
          <w:rPr>
            <w:rStyle w:val="Hyperlink"/>
            <w:noProof/>
          </w:rPr>
          <w:t>Clarifying the reform pathway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45BF88" w14:textId="592CF96F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10" w:history="1">
        <w:r w:rsidRPr="008137AF">
          <w:rPr>
            <w:rStyle w:val="Hyperlink"/>
            <w:noProof/>
          </w:rPr>
          <w:t>Existing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D1B94C" w14:textId="57C2627C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11" w:history="1">
        <w:r w:rsidRPr="008137AF">
          <w:rPr>
            <w:rStyle w:val="Hyperlink"/>
            <w:noProof/>
          </w:rPr>
          <w:t>Recommendations made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BE59E0" w14:textId="29314F44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12" w:history="1">
        <w:r w:rsidRPr="008137AF">
          <w:rPr>
            <w:rStyle w:val="Hyperlink"/>
            <w:noProof/>
          </w:rPr>
          <w:t>Implementation gap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8AA1DF" w14:textId="0BECC75B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13" w:history="1">
        <w:r w:rsidRPr="008137AF">
          <w:rPr>
            <w:rStyle w:val="Hyperlink"/>
            <w:noProof/>
          </w:rPr>
          <w:t>Accountability gap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70A409" w14:textId="01B9F167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14" w:history="1">
        <w:r w:rsidRPr="008137AF">
          <w:rPr>
            <w:rStyle w:val="Hyperlink"/>
            <w:noProof/>
          </w:rPr>
          <w:t>Opportunity for research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518D56" w14:textId="1136A330" w:rsidR="00B82601" w:rsidRDefault="00B82601">
      <w:pPr>
        <w:pStyle w:val="TOC1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15" w:history="1">
        <w:r w:rsidRPr="008137AF">
          <w:rPr>
            <w:rStyle w:val="Hyperlink"/>
            <w:noProof/>
          </w:rPr>
          <w:t>Accessible and inclusive communities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FA8128E" w14:textId="603EC67C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16" w:history="1">
        <w:r w:rsidRPr="008137AF">
          <w:rPr>
            <w:rStyle w:val="Hyperlink"/>
            <w:noProof/>
          </w:rPr>
          <w:t>Evidence landscape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DCAFC5" w14:textId="44063AE5" w:rsidR="00B82601" w:rsidRDefault="00B82601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23944317" w:history="1">
        <w:r w:rsidRPr="008137AF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_Toc223944317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24FE405" w14:textId="7492D320" w:rsidR="00EA1DCC" w:rsidRPr="00EA1DCC" w:rsidRDefault="00812907" w:rsidP="00EA1DCC">
      <w:pPr>
        <w:rPr>
          <w:b/>
          <w:bCs/>
        </w:rPr>
      </w:pPr>
      <w:r>
        <w:fldChar w:fldCharType="end"/>
      </w:r>
      <w:r w:rsidR="00EA1DCC" w:rsidRPr="00EA1DCC">
        <w:rPr>
          <w:b/>
          <w:bCs/>
        </w:rPr>
        <w:t xml:space="preserve">Important note </w:t>
      </w:r>
    </w:p>
    <w:p w14:paraId="7D2D50DD" w14:textId="77777777" w:rsidR="00590257" w:rsidRDefault="00590257" w:rsidP="00590257">
      <w:r>
        <w:t>This briefing note provides general information to help research teams understand the Accessible and Inclusive Communities theme.</w:t>
      </w:r>
    </w:p>
    <w:p w14:paraId="41CCCE27" w14:textId="77777777" w:rsidR="00590257" w:rsidRDefault="00590257" w:rsidP="00590257">
      <w:r>
        <w:t>It is intended as guidance only. It does not prescribe research topics, methods, or how applications should be written.</w:t>
      </w:r>
    </w:p>
    <w:p w14:paraId="463EB0E0" w14:textId="77777777" w:rsidR="00590257" w:rsidRDefault="00590257" w:rsidP="00590257">
      <w:r>
        <w:t>Applicants are responsible for developing their own research proposals, analysis and evidence base. Research teams should not rely solely on the information in this document.</w:t>
      </w:r>
    </w:p>
    <w:p w14:paraId="01E9480E" w14:textId="067F665E" w:rsidR="007B3204" w:rsidRDefault="00590257" w:rsidP="00590257">
      <w:r>
        <w:t>All applications will be assessed against the published criteria for the 2026 NDRP Disability Research Funding round.</w:t>
      </w:r>
    </w:p>
    <w:p w14:paraId="3D989AD9" w14:textId="77777777" w:rsidR="00E44E35" w:rsidRDefault="00E44E35" w:rsidP="00E44E35">
      <w:pPr>
        <w:spacing w:after="160" w:line="278" w:lineRule="auto"/>
        <w:rPr>
          <w:rFonts w:eastAsia="DengXian"/>
        </w:rPr>
      </w:pPr>
    </w:p>
    <w:p w14:paraId="682ACD0E" w14:textId="77777777" w:rsidR="00812907" w:rsidRDefault="00812907">
      <w:pPr>
        <w:spacing w:after="160" w:line="278" w:lineRule="auto"/>
        <w:rPr>
          <w:rFonts w:ascii="Calibri" w:hAnsi="Calibri" w:cs="Calibri"/>
          <w:b/>
          <w:bCs/>
          <w:color w:val="614393"/>
          <w:sz w:val="44"/>
          <w:szCs w:val="44"/>
        </w:rPr>
      </w:pPr>
      <w:bookmarkStart w:id="11" w:name="_Toc223885209"/>
      <w:bookmarkEnd w:id="0"/>
      <w:r>
        <w:br w:type="page"/>
      </w:r>
    </w:p>
    <w:p w14:paraId="364F2495" w14:textId="1AD13D56" w:rsidR="00E44E35" w:rsidRDefault="00E44E35" w:rsidP="00E44E35">
      <w:pPr>
        <w:pStyle w:val="Heading1"/>
      </w:pPr>
      <w:bookmarkStart w:id="12" w:name="_Toc223944305"/>
      <w:r w:rsidRPr="002A2FD7">
        <w:t>Evidence to Action</w:t>
      </w:r>
      <w:r>
        <w:t xml:space="preserve"> Briefing Note</w:t>
      </w:r>
      <w:bookmarkEnd w:id="11"/>
      <w:bookmarkEnd w:id="12"/>
    </w:p>
    <w:p w14:paraId="153B414C" w14:textId="0A7186BE" w:rsidR="00E44E35" w:rsidRPr="002A2FD7" w:rsidRDefault="00B13BF9" w:rsidP="00E44E35">
      <w:pPr>
        <w:pStyle w:val="Heading2"/>
      </w:pPr>
      <w:bookmarkStart w:id="13" w:name="_Toc223885210"/>
      <w:bookmarkStart w:id="14" w:name="_Toc223944306"/>
      <w:r w:rsidRPr="00B13BF9">
        <w:t>Accessible and Inclusive Communities</w:t>
      </w:r>
      <w:bookmarkEnd w:id="13"/>
      <w:bookmarkEnd w:id="14"/>
    </w:p>
    <w:p w14:paraId="1D44B9EF" w14:textId="1C4CB9EB" w:rsidR="00E44E35" w:rsidRPr="002A2FD7" w:rsidRDefault="00F33B4B" w:rsidP="00E44E35">
      <w:pPr>
        <w:rPr>
          <w:b/>
          <w:bCs/>
        </w:rPr>
      </w:pPr>
      <w:r>
        <w:rPr>
          <w:b/>
          <w:bCs/>
        </w:rPr>
        <w:t>T</w:t>
      </w:r>
      <w:r w:rsidR="00E44E35" w:rsidRPr="002A2FD7">
        <w:rPr>
          <w:b/>
          <w:bCs/>
        </w:rPr>
        <w:t xml:space="preserve">his </w:t>
      </w:r>
      <w:r>
        <w:rPr>
          <w:b/>
          <w:bCs/>
        </w:rPr>
        <w:t>n</w:t>
      </w:r>
      <w:r w:rsidR="00E44E35" w:rsidRPr="002A2FD7">
        <w:rPr>
          <w:b/>
          <w:bCs/>
        </w:rPr>
        <w:t>ote</w:t>
      </w:r>
    </w:p>
    <w:p w14:paraId="14D7A5AC" w14:textId="57AD187F" w:rsidR="00164354" w:rsidRDefault="00EB577C" w:rsidP="00E44E35">
      <w:r>
        <w:t xml:space="preserve">The </w:t>
      </w:r>
      <w:r w:rsidR="005423C8">
        <w:t xml:space="preserve">National </w:t>
      </w:r>
      <w:r w:rsidR="00164354">
        <w:t>Disability</w:t>
      </w:r>
      <w:r w:rsidR="005423C8">
        <w:t xml:space="preserve"> Research Partnership (NDRP</w:t>
      </w:r>
      <w:r w:rsidR="00164354">
        <w:t>)</w:t>
      </w:r>
      <w:r w:rsidR="005423C8">
        <w:t xml:space="preserve"> </w:t>
      </w:r>
      <w:hyperlink r:id="rId10" w:history="1">
        <w:r w:rsidR="00164354" w:rsidRPr="00164354">
          <w:rPr>
            <w:rStyle w:val="Hyperlink"/>
          </w:rPr>
          <w:t>Research</w:t>
        </w:r>
        <w:r w:rsidR="005423C8" w:rsidRPr="00164354">
          <w:rPr>
            <w:rStyle w:val="Hyperlink"/>
          </w:rPr>
          <w:t xml:space="preserve"> Agenda</w:t>
        </w:r>
      </w:hyperlink>
      <w:r w:rsidR="00D0143E">
        <w:t xml:space="preserve"> </w:t>
      </w:r>
      <w:r w:rsidR="00D0143E" w:rsidRPr="00D0143E">
        <w:t>was developed in collaboration with people with disability, their representative organisations and allies, over two years from 2021-2023.</w:t>
      </w:r>
    </w:p>
    <w:p w14:paraId="386DBC76" w14:textId="77777777" w:rsidR="00AD601D" w:rsidRDefault="00630BCC">
      <w:r>
        <w:t xml:space="preserve">The NDRP 2026 Disability Research Funding includes a </w:t>
      </w:r>
      <w:r w:rsidRPr="002A2FD7">
        <w:t xml:space="preserve">focus on strengthening the quality and impact of research funded under the </w:t>
      </w:r>
      <w:r>
        <w:t xml:space="preserve">NDRP Research Agenda theme of accessible and inclusive communities. </w:t>
      </w:r>
    </w:p>
    <w:p w14:paraId="773B5837" w14:textId="005ADA1A" w:rsidR="00184C46" w:rsidRDefault="00184C46">
      <w:pPr>
        <w:rPr>
          <w:szCs w:val="24"/>
        </w:rPr>
      </w:pPr>
      <w:r>
        <w:t>The NDRP consulted extensively with Disabled People’s Organisations (DPOs), Disability Representative Organisations (DROs), and government stakeholders across state, territory, and federal levels to shape this theme.</w:t>
      </w:r>
    </w:p>
    <w:p w14:paraId="0C843035" w14:textId="5CD27480" w:rsidR="00D1389D" w:rsidRDefault="00D1389D" w:rsidP="00D1389D">
      <w:pPr>
        <w:pStyle w:val="Heading3"/>
      </w:pPr>
      <w:bookmarkStart w:id="15" w:name="_Toc223885211"/>
      <w:r>
        <w:t>Other resources available on this topic</w:t>
      </w:r>
      <w:bookmarkEnd w:id="15"/>
    </w:p>
    <w:p w14:paraId="684F3F9C" w14:textId="77777777" w:rsidR="00383607" w:rsidRPr="00F70936" w:rsidRDefault="00383607" w:rsidP="008D0E9E">
      <w:pPr>
        <w:pStyle w:val="ListParagraph"/>
        <w:numPr>
          <w:ilvl w:val="0"/>
          <w:numId w:val="1"/>
        </w:numPr>
        <w:spacing w:after="160" w:line="278" w:lineRule="auto"/>
      </w:pPr>
      <w:r w:rsidRPr="00F70936">
        <w:t>Download </w:t>
      </w:r>
      <w:hyperlink r:id="rId11" w:tgtFrame="_blank" w:history="1">
        <w:r w:rsidRPr="00F70936">
          <w:rPr>
            <w:rStyle w:val="Hyperlink"/>
          </w:rPr>
          <w:t>What to expect from the 23 March Evidence to Action event document (Word)</w:t>
        </w:r>
      </w:hyperlink>
      <w:r w:rsidRPr="00F70936">
        <w:t>.</w:t>
      </w:r>
    </w:p>
    <w:p w14:paraId="43483D35" w14:textId="77777777" w:rsidR="00383607" w:rsidRPr="00F70936" w:rsidRDefault="00383607" w:rsidP="008D0E9E">
      <w:pPr>
        <w:pStyle w:val="ListParagraph"/>
        <w:numPr>
          <w:ilvl w:val="0"/>
          <w:numId w:val="1"/>
        </w:numPr>
        <w:spacing w:after="160" w:line="278" w:lineRule="auto"/>
      </w:pPr>
      <w:r w:rsidRPr="00F70936">
        <w:t>Watch </w:t>
      </w:r>
      <w:hyperlink r:id="rId12" w:tgtFrame="_blank" w:history="1">
        <w:r w:rsidRPr="00F70936">
          <w:rPr>
            <w:rStyle w:val="Hyperlink"/>
          </w:rPr>
          <w:t>What do we mean by accessible and inclusive communities? (Video).</w:t>
        </w:r>
      </w:hyperlink>
    </w:p>
    <w:p w14:paraId="4560E58F" w14:textId="77777777" w:rsidR="00383607" w:rsidRDefault="00383607" w:rsidP="008D0E9E">
      <w:pPr>
        <w:pStyle w:val="ListParagraph"/>
        <w:numPr>
          <w:ilvl w:val="0"/>
          <w:numId w:val="1"/>
        </w:numPr>
        <w:spacing w:after="160" w:line="278" w:lineRule="auto"/>
      </w:pPr>
      <w:r w:rsidRPr="00F70936">
        <w:t>Watch </w:t>
      </w:r>
      <w:hyperlink r:id="rId13" w:tgtFrame="_blank" w:history="1">
        <w:r w:rsidRPr="00F70936">
          <w:rPr>
            <w:rStyle w:val="Hyperlink"/>
          </w:rPr>
          <w:t>What role do standards play in creating accessible and inclusive communities? (Video)</w:t>
        </w:r>
      </w:hyperlink>
      <w:r w:rsidRPr="00F70936">
        <w:t>.</w:t>
      </w:r>
    </w:p>
    <w:p w14:paraId="17AE7797" w14:textId="62DBFE4B" w:rsidR="001E76F5" w:rsidRPr="00F70936" w:rsidRDefault="00B57A0D" w:rsidP="008D0E9E">
      <w:pPr>
        <w:pStyle w:val="ListParagraph"/>
        <w:numPr>
          <w:ilvl w:val="0"/>
          <w:numId w:val="1"/>
        </w:numPr>
        <w:spacing w:after="160" w:line="278" w:lineRule="auto"/>
      </w:pPr>
      <w:r>
        <w:t xml:space="preserve">Watch </w:t>
      </w:r>
      <w:hyperlink r:id="rId14" w:history="1">
        <w:r w:rsidR="00EC3E17" w:rsidRPr="00EC3E17">
          <w:rPr>
            <w:rStyle w:val="Hyperlink"/>
          </w:rPr>
          <w:t>Understanding policy, programs and impact in Australia: A guide for disability research (Video).</w:t>
        </w:r>
      </w:hyperlink>
    </w:p>
    <w:p w14:paraId="496B8887" w14:textId="79CC868F" w:rsidR="001F715E" w:rsidRPr="00AD601D" w:rsidRDefault="00191F4A" w:rsidP="008D0E9E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F70936">
        <w:t>Watch </w:t>
      </w:r>
      <w:hyperlink r:id="rId15" w:tgtFrame="_blank" w:history="1">
        <w:r w:rsidRPr="00F70936">
          <w:rPr>
            <w:rStyle w:val="Hyperlink"/>
          </w:rPr>
          <w:t>How can research influence real change in policy and practice? (Video).</w:t>
        </w:r>
      </w:hyperlink>
      <w:r w:rsidR="001F715E" w:rsidRPr="00AD601D">
        <w:rPr>
          <w:b/>
          <w:bCs/>
        </w:rPr>
        <w:br w:type="page"/>
      </w:r>
    </w:p>
    <w:p w14:paraId="10D9EAE0" w14:textId="2980FC15" w:rsidR="007E2D51" w:rsidRDefault="007E2D51" w:rsidP="0093518F">
      <w:pPr>
        <w:pStyle w:val="Heading1"/>
        <w:spacing w:after="0"/>
      </w:pPr>
      <w:bookmarkStart w:id="16" w:name="_Toc223885212"/>
      <w:bookmarkStart w:id="17" w:name="_Toc223944307"/>
      <w:r>
        <w:t>Using research to influence systems change</w:t>
      </w:r>
      <w:bookmarkEnd w:id="16"/>
      <w:bookmarkEnd w:id="17"/>
    </w:p>
    <w:p w14:paraId="1A4108CA" w14:textId="77777777" w:rsidR="0093518F" w:rsidRPr="00705456" w:rsidRDefault="0093518F" w:rsidP="0093518F">
      <w:pPr>
        <w:pStyle w:val="Heading2"/>
      </w:pPr>
      <w:bookmarkStart w:id="18" w:name="_Toc223885213"/>
      <w:bookmarkStart w:id="19" w:name="_Toc223944308"/>
      <w:r w:rsidRPr="00705456">
        <w:t>Purpose</w:t>
      </w:r>
      <w:bookmarkEnd w:id="18"/>
      <w:bookmarkEnd w:id="19"/>
    </w:p>
    <w:p w14:paraId="4BFAFC35" w14:textId="77777777" w:rsidR="0093518F" w:rsidRPr="00705456" w:rsidRDefault="0093518F" w:rsidP="0093518F">
      <w:pPr>
        <w:spacing w:after="160" w:line="278" w:lineRule="auto"/>
      </w:pPr>
      <w:r w:rsidRPr="00705456">
        <w:t>Research teams could consider how their proposed research contributes to structural accessibility reform, rather than isolated improvements.</w:t>
      </w:r>
      <w:r>
        <w:t xml:space="preserve"> </w:t>
      </w:r>
      <w:r w:rsidRPr="00705456">
        <w:t>Research can help influence systems such as planning frameworks, standards, regulation, procurement systems and infrastructure policy.</w:t>
      </w:r>
    </w:p>
    <w:p w14:paraId="76AA5A63" w14:textId="77777777" w:rsidR="0093518F" w:rsidRPr="00705456" w:rsidRDefault="0093518F" w:rsidP="0093518F">
      <w:pPr>
        <w:spacing w:after="160" w:line="278" w:lineRule="auto"/>
      </w:pPr>
      <w:r w:rsidRPr="00705456">
        <w:t>When considering the potential impact of a project, research teams may reflect on:</w:t>
      </w:r>
    </w:p>
    <w:p w14:paraId="005A7FB4" w14:textId="77777777" w:rsidR="0093518F" w:rsidRPr="00705456" w:rsidRDefault="0093518F" w:rsidP="008D0E9E">
      <w:pPr>
        <w:numPr>
          <w:ilvl w:val="0"/>
          <w:numId w:val="2"/>
        </w:numPr>
        <w:spacing w:after="160" w:line="278" w:lineRule="auto"/>
      </w:pPr>
      <w:r w:rsidRPr="00705456">
        <w:t>What system change they seek</w:t>
      </w:r>
    </w:p>
    <w:p w14:paraId="2AE1DA0F" w14:textId="77777777" w:rsidR="0093518F" w:rsidRPr="00705456" w:rsidRDefault="0093518F" w:rsidP="008D0E9E">
      <w:pPr>
        <w:numPr>
          <w:ilvl w:val="0"/>
          <w:numId w:val="2"/>
        </w:numPr>
        <w:spacing w:after="160" w:line="278" w:lineRule="auto"/>
      </w:pPr>
      <w:r w:rsidRPr="00705456">
        <w:t>Who holds authority to make that change</w:t>
      </w:r>
    </w:p>
    <w:p w14:paraId="357737BC" w14:textId="77777777" w:rsidR="0093518F" w:rsidRPr="00705456" w:rsidRDefault="0093518F" w:rsidP="008D0E9E">
      <w:pPr>
        <w:numPr>
          <w:ilvl w:val="0"/>
          <w:numId w:val="2"/>
        </w:numPr>
        <w:spacing w:after="160" w:line="278" w:lineRule="auto"/>
      </w:pPr>
      <w:r w:rsidRPr="00705456">
        <w:t>What evidence may influence reform</w:t>
      </w:r>
    </w:p>
    <w:p w14:paraId="39A1F7B2" w14:textId="77777777" w:rsidR="0093518F" w:rsidRPr="00705456" w:rsidRDefault="0093518F" w:rsidP="008D0E9E">
      <w:pPr>
        <w:numPr>
          <w:ilvl w:val="0"/>
          <w:numId w:val="2"/>
        </w:numPr>
        <w:spacing w:after="0" w:line="278" w:lineRule="auto"/>
      </w:pPr>
      <w:r w:rsidRPr="00705456">
        <w:t>How the research could contribute to impact</w:t>
      </w:r>
    </w:p>
    <w:p w14:paraId="440D888C" w14:textId="77777777" w:rsidR="004266D1" w:rsidRDefault="004176F4" w:rsidP="004266D1">
      <w:pPr>
        <w:keepNext/>
        <w:spacing w:after="0"/>
      </w:pPr>
      <w:r>
        <w:rPr>
          <w:noProof/>
          <w14:ligatures w14:val="standardContextual"/>
        </w:rPr>
        <w:drawing>
          <wp:inline distT="0" distB="0" distL="0" distR="0" wp14:anchorId="5428930E" wp14:editId="52D80DCD">
            <wp:extent cx="6141085" cy="5057423"/>
            <wp:effectExtent l="0" t="0" r="0" b="10160"/>
            <wp:docPr id="1517477463" name="Diagram 1" descr="A circular diagram showing five stages used to think about how research can support systems change.&#10;&#10;At the top is a circle labelled “Existing evidence.”&#10;To the right is a circle labelled “Recommendations made.”&#10;Below that is a circle labelled “Implementation gap.”&#10;To the lower left is a circle labelled “Accountability gap.”&#10;On the left is a circle labelled “Opportunity for research.”&#10;&#10;The diagram illustrates a pathway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563C3488" w14:textId="7BCBDB28" w:rsidR="004266D1" w:rsidRDefault="004266D1" w:rsidP="004266D1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Reform pathway to consider</w:t>
      </w:r>
    </w:p>
    <w:p w14:paraId="5D4798F1" w14:textId="77777777" w:rsidR="00C81778" w:rsidRPr="00705456" w:rsidRDefault="00C81778" w:rsidP="00C81778">
      <w:pPr>
        <w:pStyle w:val="Heading2"/>
      </w:pPr>
      <w:bookmarkStart w:id="20" w:name="_Toc223885214"/>
      <w:bookmarkStart w:id="21" w:name="_Toc223944309"/>
      <w:r w:rsidRPr="00705456">
        <w:t>Clarifying the reform pathway</w:t>
      </w:r>
      <w:bookmarkEnd w:id="20"/>
      <w:bookmarkEnd w:id="21"/>
    </w:p>
    <w:p w14:paraId="1EC34AE4" w14:textId="77777777" w:rsidR="00C81778" w:rsidRPr="00705456" w:rsidRDefault="00C81778" w:rsidP="00C81778">
      <w:pPr>
        <w:spacing w:after="160" w:line="278" w:lineRule="auto"/>
      </w:pPr>
      <w:r w:rsidRPr="00705456">
        <w:t>A useful test is to complete the following statement:</w:t>
      </w:r>
    </w:p>
    <w:p w14:paraId="451CD18A" w14:textId="77777777" w:rsidR="00C81778" w:rsidRPr="00705456" w:rsidRDefault="00C81778" w:rsidP="00C81778">
      <w:pPr>
        <w:spacing w:after="160" w:line="278" w:lineRule="auto"/>
        <w:rPr>
          <w:i/>
          <w:iCs/>
        </w:rPr>
      </w:pPr>
      <w:r w:rsidRPr="00705456">
        <w:rPr>
          <w:i/>
          <w:iCs/>
        </w:rPr>
        <w:t>“If this research is successful, [specific decision-maker] will change [specific policy or regulatory mechanism], resulting in [specific accessibility or inclusion improvement].”</w:t>
      </w:r>
    </w:p>
    <w:p w14:paraId="28C7DBC1" w14:textId="288D599B" w:rsidR="00705456" w:rsidRPr="00705456" w:rsidRDefault="00705456" w:rsidP="007E2D51">
      <w:pPr>
        <w:pStyle w:val="Heading2"/>
      </w:pPr>
      <w:bookmarkStart w:id="22" w:name="_Toc223885215"/>
      <w:bookmarkStart w:id="23" w:name="_Toc223944310"/>
      <w:r w:rsidRPr="00705456">
        <w:t>Existing evidence</w:t>
      </w:r>
      <w:bookmarkEnd w:id="22"/>
      <w:bookmarkEnd w:id="23"/>
    </w:p>
    <w:p w14:paraId="16465627" w14:textId="6FCAE9A1" w:rsidR="00705456" w:rsidRPr="00705456" w:rsidRDefault="00705456" w:rsidP="00705456">
      <w:pPr>
        <w:spacing w:after="160" w:line="278" w:lineRule="auto"/>
      </w:pPr>
      <w:r w:rsidRPr="00705456">
        <w:t>Understanding the current evidence base is an important starting point.</w:t>
      </w:r>
    </w:p>
    <w:p w14:paraId="2363E43F" w14:textId="642DED36" w:rsidR="00705456" w:rsidRPr="00705456" w:rsidRDefault="00892CFB" w:rsidP="00705456">
      <w:pPr>
        <w:spacing w:after="160" w:line="278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84F723" wp14:editId="62467FD8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519680" cy="2519680"/>
                <wp:effectExtent l="0" t="0" r="0" b="0"/>
                <wp:wrapTight wrapText="bothSides">
                  <wp:wrapPolygon edited="0">
                    <wp:start x="8819" y="0"/>
                    <wp:lineTo x="7512" y="163"/>
                    <wp:lineTo x="3266" y="2123"/>
                    <wp:lineTo x="2286" y="3756"/>
                    <wp:lineTo x="1143" y="5226"/>
                    <wp:lineTo x="0" y="7839"/>
                    <wp:lineTo x="0" y="13228"/>
                    <wp:lineTo x="817" y="15677"/>
                    <wp:lineTo x="2450" y="18290"/>
                    <wp:lineTo x="6206" y="20903"/>
                    <wp:lineTo x="8492" y="21393"/>
                    <wp:lineTo x="12901" y="21393"/>
                    <wp:lineTo x="15188" y="20903"/>
                    <wp:lineTo x="18944" y="18290"/>
                    <wp:lineTo x="20577" y="15677"/>
                    <wp:lineTo x="21393" y="13228"/>
                    <wp:lineTo x="21393" y="7839"/>
                    <wp:lineTo x="20250" y="5226"/>
                    <wp:lineTo x="18617" y="3103"/>
                    <wp:lineTo x="18127" y="2123"/>
                    <wp:lineTo x="14044" y="163"/>
                    <wp:lineTo x="12575" y="0"/>
                    <wp:lineTo x="8819" y="0"/>
                  </wp:wrapPolygon>
                </wp:wrapTight>
                <wp:docPr id="600788393" name="Flowchart: Connector 1" descr="Existing ev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9680" cy="2519680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42214" w14:textId="5CD944F0" w:rsidR="00691734" w:rsidRPr="00933BBE" w:rsidRDefault="00933BBE" w:rsidP="0069173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933BB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Existing evidence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4F72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alt="Existing evidence" style="position:absolute;margin-left:0;margin-top:2.05pt;width:198.4pt;height:198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" fillcolor="#ed7d31 [3205]" stroked="f" strokeweight="1pt">
                <v:stroke joinstyle="miter"/>
                <o:lock v:ext="edit" aspectratio="t"/>
                <v:textbox>
                  <w:txbxContent>
                    <w:p w14:paraId="6C742214" w14:textId="5CD944F0" w:rsidR="00691734" w:rsidRPr="00933BBE" w:rsidRDefault="00933BBE" w:rsidP="0069173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933BBE"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Existing evidence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5456" w:rsidRPr="00705456">
        <w:t>Research teams may consider:</w:t>
      </w:r>
    </w:p>
    <w:p w14:paraId="61CC879C" w14:textId="65BB796B" w:rsidR="00705456" w:rsidRPr="00705456" w:rsidRDefault="00705456" w:rsidP="008D0E9E">
      <w:pPr>
        <w:numPr>
          <w:ilvl w:val="0"/>
          <w:numId w:val="3"/>
        </w:numPr>
        <w:spacing w:after="160" w:line="278" w:lineRule="auto"/>
      </w:pPr>
      <w:r w:rsidRPr="00705456">
        <w:t>What structural barrier are you addressing?</w:t>
      </w:r>
    </w:p>
    <w:p w14:paraId="7E7B4BCD" w14:textId="0774E5A8" w:rsidR="00705456" w:rsidRPr="00705456" w:rsidRDefault="00705456" w:rsidP="008D0E9E">
      <w:pPr>
        <w:numPr>
          <w:ilvl w:val="0"/>
          <w:numId w:val="3"/>
        </w:numPr>
        <w:spacing w:after="160" w:line="278" w:lineRule="auto"/>
      </w:pPr>
      <w:r w:rsidRPr="00705456">
        <w:t>What evidence already exists on this issue?</w:t>
      </w:r>
    </w:p>
    <w:p w14:paraId="5B17F966" w14:textId="401C1C12" w:rsidR="00705456" w:rsidRPr="00705456" w:rsidRDefault="00705456" w:rsidP="008D0E9E">
      <w:pPr>
        <w:numPr>
          <w:ilvl w:val="0"/>
          <w:numId w:val="3"/>
        </w:numPr>
        <w:spacing w:after="160" w:line="278" w:lineRule="auto"/>
      </w:pPr>
      <w:r w:rsidRPr="00705456">
        <w:t>Why has the existing evidence not been sufficient to drive change?</w:t>
      </w:r>
    </w:p>
    <w:p w14:paraId="41C796B2" w14:textId="5105D47D" w:rsidR="00705456" w:rsidRPr="00705456" w:rsidRDefault="00705456" w:rsidP="008D0E9E">
      <w:pPr>
        <w:numPr>
          <w:ilvl w:val="0"/>
          <w:numId w:val="3"/>
        </w:numPr>
        <w:spacing w:after="160" w:line="278" w:lineRule="auto"/>
      </w:pPr>
      <w:r w:rsidRPr="00705456">
        <w:t>Why has reform stalled or progressed slowly?</w:t>
      </w:r>
    </w:p>
    <w:p w14:paraId="20ECFFEF" w14:textId="422D0303" w:rsidR="00705456" w:rsidRPr="00705456" w:rsidRDefault="00705456" w:rsidP="00705456">
      <w:pPr>
        <w:spacing w:after="160" w:line="278" w:lineRule="auto"/>
      </w:pPr>
      <w:r w:rsidRPr="00705456">
        <w:t>This step helps identify where evidence gaps remain and where further research could strengthen the case for reform.</w:t>
      </w:r>
    </w:p>
    <w:p w14:paraId="329A9E7C" w14:textId="77777777" w:rsidR="00CA177E" w:rsidRDefault="00CA177E" w:rsidP="007E2D51">
      <w:pPr>
        <w:pStyle w:val="Heading2"/>
      </w:pPr>
    </w:p>
    <w:p w14:paraId="46B817D4" w14:textId="7BD2516F" w:rsidR="00705456" w:rsidRPr="00705456" w:rsidRDefault="00705456" w:rsidP="007E2D51">
      <w:pPr>
        <w:pStyle w:val="Heading2"/>
      </w:pPr>
      <w:bookmarkStart w:id="24" w:name="_Toc223885216"/>
      <w:bookmarkStart w:id="25" w:name="_Toc223944311"/>
      <w:r w:rsidRPr="00705456">
        <w:t>Recommendations made</w:t>
      </w:r>
      <w:bookmarkEnd w:id="24"/>
      <w:bookmarkEnd w:id="25"/>
    </w:p>
    <w:p w14:paraId="1F76FDC1" w14:textId="1F54FEDF" w:rsidR="00705456" w:rsidRPr="00705456" w:rsidRDefault="00705456" w:rsidP="00705456">
      <w:pPr>
        <w:spacing w:after="160" w:line="278" w:lineRule="auto"/>
      </w:pPr>
      <w:r w:rsidRPr="00705456">
        <w:t>Many accessibility issues have already been examined through inquiries, reviews and reports.</w:t>
      </w:r>
    </w:p>
    <w:p w14:paraId="32F19182" w14:textId="11223C15" w:rsidR="00705456" w:rsidRPr="00705456" w:rsidRDefault="00705456" w:rsidP="00705456">
      <w:pPr>
        <w:spacing w:after="160" w:line="278" w:lineRule="auto"/>
      </w:pPr>
      <w:r w:rsidRPr="00705456">
        <w:t>Research teams may consider:</w:t>
      </w:r>
    </w:p>
    <w:p w14:paraId="7867EB22" w14:textId="4E8B026A" w:rsidR="00705456" w:rsidRPr="00705456" w:rsidRDefault="00892CFB" w:rsidP="008D0E9E">
      <w:pPr>
        <w:numPr>
          <w:ilvl w:val="0"/>
          <w:numId w:val="4"/>
        </w:numPr>
        <w:spacing w:after="160" w:line="278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BD042D" wp14:editId="039139A3">
                <wp:simplePos x="0" y="0"/>
                <wp:positionH relativeFrom="margin">
                  <wp:align>left</wp:align>
                </wp:positionH>
                <wp:positionV relativeFrom="paragraph">
                  <wp:posOffset>-346640</wp:posOffset>
                </wp:positionV>
                <wp:extent cx="2520000" cy="2520000"/>
                <wp:effectExtent l="0" t="0" r="0" b="0"/>
                <wp:wrapTight wrapText="bothSides">
                  <wp:wrapPolygon edited="0">
                    <wp:start x="8819" y="0"/>
                    <wp:lineTo x="7512" y="163"/>
                    <wp:lineTo x="3266" y="2123"/>
                    <wp:lineTo x="2286" y="3756"/>
                    <wp:lineTo x="1143" y="5226"/>
                    <wp:lineTo x="0" y="7839"/>
                    <wp:lineTo x="0" y="13228"/>
                    <wp:lineTo x="817" y="15677"/>
                    <wp:lineTo x="2450" y="18290"/>
                    <wp:lineTo x="6206" y="20903"/>
                    <wp:lineTo x="8492" y="21393"/>
                    <wp:lineTo x="12901" y="21393"/>
                    <wp:lineTo x="15188" y="20903"/>
                    <wp:lineTo x="18944" y="18290"/>
                    <wp:lineTo x="20577" y="15677"/>
                    <wp:lineTo x="21393" y="13228"/>
                    <wp:lineTo x="21393" y="7839"/>
                    <wp:lineTo x="20250" y="5226"/>
                    <wp:lineTo x="18617" y="3103"/>
                    <wp:lineTo x="18127" y="2123"/>
                    <wp:lineTo x="14044" y="163"/>
                    <wp:lineTo x="12575" y="0"/>
                    <wp:lineTo x="8819" y="0"/>
                  </wp:wrapPolygon>
                </wp:wrapTight>
                <wp:docPr id="625907169" name="Flowchart: Connector 1" descr="Recommendations ma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20000" cy="2520000"/>
                        </a:xfrm>
                        <a:prstGeom prst="flowChartConnector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CC8A6" w14:textId="76730FEE" w:rsidR="0093518F" w:rsidRPr="00933BBE" w:rsidRDefault="0093518F" w:rsidP="0093518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Recommendations made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D042D" id="_x0000_s1027" type="#_x0000_t120" alt="Recommendations made" style="position:absolute;left:0;text-align:left;margin-left:0;margin-top:-27.3pt;width:198.45pt;height:198.4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" fillcolor="#4488ab [3206]" stroked="f">
                <o:lock v:ext="edit" aspectratio="t"/>
                <v:textbox>
                  <w:txbxContent>
                    <w:p w14:paraId="67CCC8A6" w14:textId="76730FEE" w:rsidR="0093518F" w:rsidRPr="00933BBE" w:rsidRDefault="0093518F" w:rsidP="0093518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Recommendations made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5456" w:rsidRPr="00705456">
        <w:t>What recommendations have already been made?</w:t>
      </w:r>
    </w:p>
    <w:p w14:paraId="45B47F6C" w14:textId="1499B081" w:rsidR="00705456" w:rsidRPr="00705456" w:rsidRDefault="00705456" w:rsidP="008D0E9E">
      <w:pPr>
        <w:numPr>
          <w:ilvl w:val="0"/>
          <w:numId w:val="4"/>
        </w:numPr>
        <w:spacing w:after="160" w:line="278" w:lineRule="auto"/>
      </w:pPr>
      <w:r w:rsidRPr="00705456">
        <w:t>Which organisations or authorities are responsible for responding to those recommendations?</w:t>
      </w:r>
    </w:p>
    <w:p w14:paraId="388926AE" w14:textId="77777777" w:rsidR="00705456" w:rsidRPr="00705456" w:rsidRDefault="00705456" w:rsidP="008D0E9E">
      <w:pPr>
        <w:numPr>
          <w:ilvl w:val="0"/>
          <w:numId w:val="4"/>
        </w:numPr>
        <w:spacing w:after="160" w:line="278" w:lineRule="auto"/>
      </w:pPr>
      <w:r w:rsidRPr="00705456">
        <w:t>Have recommendations been adopted, partially adopted, or not implemented?</w:t>
      </w:r>
    </w:p>
    <w:p w14:paraId="009DAFE4" w14:textId="77777777" w:rsidR="00705456" w:rsidRPr="00705456" w:rsidRDefault="00705456" w:rsidP="00705456">
      <w:pPr>
        <w:spacing w:after="160" w:line="278" w:lineRule="auto"/>
      </w:pPr>
      <w:r w:rsidRPr="00705456">
        <w:t>Understanding the history of recommendations can help clarify where research may add value.</w:t>
      </w:r>
    </w:p>
    <w:p w14:paraId="657C615F" w14:textId="09F16D74" w:rsidR="00705456" w:rsidRPr="00705456" w:rsidRDefault="00705456" w:rsidP="00934DB7">
      <w:pPr>
        <w:pStyle w:val="Heading2"/>
        <w:spacing w:after="0"/>
      </w:pPr>
      <w:bookmarkStart w:id="26" w:name="_Toc223885217"/>
      <w:bookmarkStart w:id="27" w:name="_Toc223944312"/>
      <w:r w:rsidRPr="00705456">
        <w:t>Implementation gap</w:t>
      </w:r>
      <w:bookmarkEnd w:id="26"/>
      <w:bookmarkEnd w:id="27"/>
    </w:p>
    <w:p w14:paraId="5D96B18B" w14:textId="67C1526D" w:rsidR="00705456" w:rsidRPr="00705456" w:rsidRDefault="00705456" w:rsidP="00705456">
      <w:pPr>
        <w:spacing w:after="160" w:line="278" w:lineRule="auto"/>
      </w:pPr>
      <w:r w:rsidRPr="00705456">
        <w:t>Sometimes recommendations exist but have not been implemented.</w:t>
      </w:r>
      <w:r w:rsidR="005B355B">
        <w:t xml:space="preserve"> </w:t>
      </w:r>
      <w:r w:rsidRPr="00705456">
        <w:t xml:space="preserve">Research may </w:t>
      </w:r>
      <w:r w:rsidR="00E4250E">
        <w:t>examine:</w:t>
      </w:r>
    </w:p>
    <w:p w14:paraId="4280D465" w14:textId="4AF3B6E0" w:rsidR="00705456" w:rsidRDefault="00705456" w:rsidP="008D0E9E">
      <w:pPr>
        <w:numPr>
          <w:ilvl w:val="0"/>
          <w:numId w:val="5"/>
        </w:numPr>
        <w:spacing w:after="160" w:line="278" w:lineRule="auto"/>
        <w:ind w:left="360"/>
      </w:pPr>
      <w:r w:rsidRPr="00705456">
        <w:t>What specific system lever may need to change?</w:t>
      </w:r>
      <w:r w:rsidR="00C73D64">
        <w:t xml:space="preserve"> </w:t>
      </w:r>
      <w:r w:rsidRPr="00705456">
        <w:t>Examples could include:</w:t>
      </w:r>
    </w:p>
    <w:p w14:paraId="6361046D" w14:textId="1475D7B2" w:rsidR="00705456" w:rsidRPr="00705456" w:rsidRDefault="00567437" w:rsidP="008D0E9E">
      <w:pPr>
        <w:numPr>
          <w:ilvl w:val="1"/>
          <w:numId w:val="5"/>
        </w:numPr>
        <w:tabs>
          <w:tab w:val="num" w:pos="1080"/>
        </w:tabs>
        <w:spacing w:after="160" w:line="278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7E26A8A" wp14:editId="595AF8A1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2519680" cy="2519680"/>
                <wp:effectExtent l="0" t="0" r="0" b="0"/>
                <wp:wrapTight wrapText="bothSides">
                  <wp:wrapPolygon edited="0">
                    <wp:start x="8819" y="0"/>
                    <wp:lineTo x="7512" y="163"/>
                    <wp:lineTo x="3266" y="2123"/>
                    <wp:lineTo x="2286" y="3756"/>
                    <wp:lineTo x="1143" y="5226"/>
                    <wp:lineTo x="0" y="7839"/>
                    <wp:lineTo x="0" y="13228"/>
                    <wp:lineTo x="817" y="15677"/>
                    <wp:lineTo x="2450" y="18290"/>
                    <wp:lineTo x="6206" y="20903"/>
                    <wp:lineTo x="8492" y="21393"/>
                    <wp:lineTo x="12901" y="21393"/>
                    <wp:lineTo x="15188" y="20903"/>
                    <wp:lineTo x="18944" y="18290"/>
                    <wp:lineTo x="20577" y="15677"/>
                    <wp:lineTo x="21393" y="13228"/>
                    <wp:lineTo x="21393" y="7839"/>
                    <wp:lineTo x="20250" y="5226"/>
                    <wp:lineTo x="18617" y="3103"/>
                    <wp:lineTo x="18127" y="2123"/>
                    <wp:lineTo x="14044" y="163"/>
                    <wp:lineTo x="12575" y="0"/>
                    <wp:lineTo x="8819" y="0"/>
                  </wp:wrapPolygon>
                </wp:wrapTight>
                <wp:docPr id="335844470" name="Flowchart: Connector 1" descr="Implementation g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9680" cy="2519680"/>
                        </a:xfrm>
                        <a:prstGeom prst="flowChartConnector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79512" w14:textId="796821BF" w:rsidR="00567437" w:rsidRPr="00933BBE" w:rsidRDefault="00567437" w:rsidP="005674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Implementation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26A8A" id="_x0000_s1028" type="#_x0000_t120" alt="Implementation gap" style="position:absolute;left:0;text-align:left;margin-left:147.2pt;margin-top:10.65pt;width:198.4pt;height:198.4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" fillcolor="#bf4593 [3207]" stroked="f">
                <o:lock v:ext="edit" aspectratio="t"/>
                <v:textbox>
                  <w:txbxContent>
                    <w:p w14:paraId="2F279512" w14:textId="796821BF" w:rsidR="00567437" w:rsidRPr="00933BBE" w:rsidRDefault="00567437" w:rsidP="005674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Implementation gap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5456" w:rsidRPr="00705456">
        <w:t>Legislation</w:t>
      </w:r>
    </w:p>
    <w:p w14:paraId="1BF3AC5B" w14:textId="4BF38491" w:rsidR="00705456" w:rsidRPr="00705456" w:rsidRDefault="00705456" w:rsidP="008D0E9E">
      <w:pPr>
        <w:numPr>
          <w:ilvl w:val="1"/>
          <w:numId w:val="5"/>
        </w:numPr>
        <w:tabs>
          <w:tab w:val="num" w:pos="1080"/>
        </w:tabs>
        <w:spacing w:after="160" w:line="278" w:lineRule="auto"/>
      </w:pPr>
      <w:r w:rsidRPr="00705456">
        <w:t>Regulation</w:t>
      </w:r>
    </w:p>
    <w:p w14:paraId="6E27E1F8" w14:textId="3FBE95D4" w:rsidR="00705456" w:rsidRPr="00705456" w:rsidRDefault="00705456" w:rsidP="008D0E9E">
      <w:pPr>
        <w:numPr>
          <w:ilvl w:val="1"/>
          <w:numId w:val="5"/>
        </w:numPr>
        <w:tabs>
          <w:tab w:val="num" w:pos="1080"/>
        </w:tabs>
        <w:spacing w:after="160" w:line="278" w:lineRule="auto"/>
      </w:pPr>
      <w:r w:rsidRPr="00705456">
        <w:t>Policy guidelines</w:t>
      </w:r>
    </w:p>
    <w:p w14:paraId="0B14C8CE" w14:textId="4E44EC76" w:rsidR="00705456" w:rsidRPr="00705456" w:rsidRDefault="00705456" w:rsidP="008D0E9E">
      <w:pPr>
        <w:numPr>
          <w:ilvl w:val="1"/>
          <w:numId w:val="5"/>
        </w:numPr>
        <w:tabs>
          <w:tab w:val="num" w:pos="1080"/>
        </w:tabs>
        <w:spacing w:after="160" w:line="278" w:lineRule="auto"/>
      </w:pPr>
      <w:r w:rsidRPr="00705456">
        <w:t>Funding models</w:t>
      </w:r>
    </w:p>
    <w:p w14:paraId="376834EB" w14:textId="77777777" w:rsidR="00705456" w:rsidRPr="00705456" w:rsidRDefault="00705456" w:rsidP="008D0E9E">
      <w:pPr>
        <w:numPr>
          <w:ilvl w:val="1"/>
          <w:numId w:val="5"/>
        </w:numPr>
        <w:tabs>
          <w:tab w:val="num" w:pos="1080"/>
        </w:tabs>
        <w:spacing w:after="160" w:line="278" w:lineRule="auto"/>
      </w:pPr>
      <w:r w:rsidRPr="00705456">
        <w:t>Service standards</w:t>
      </w:r>
    </w:p>
    <w:p w14:paraId="33C2EA0C" w14:textId="77777777" w:rsidR="00705456" w:rsidRPr="00705456" w:rsidRDefault="00705456" w:rsidP="008D0E9E">
      <w:pPr>
        <w:numPr>
          <w:ilvl w:val="1"/>
          <w:numId w:val="5"/>
        </w:numPr>
        <w:tabs>
          <w:tab w:val="num" w:pos="1080"/>
        </w:tabs>
        <w:spacing w:after="160" w:line="278" w:lineRule="auto"/>
      </w:pPr>
      <w:r w:rsidRPr="00705456">
        <w:t>Accreditation processes</w:t>
      </w:r>
    </w:p>
    <w:p w14:paraId="57999D8F" w14:textId="260619F7" w:rsidR="00705456" w:rsidRPr="00705456" w:rsidRDefault="00705456" w:rsidP="008D0E9E">
      <w:pPr>
        <w:numPr>
          <w:ilvl w:val="1"/>
          <w:numId w:val="5"/>
        </w:numPr>
        <w:tabs>
          <w:tab w:val="num" w:pos="1080"/>
        </w:tabs>
        <w:spacing w:after="160" w:line="278" w:lineRule="auto"/>
      </w:pPr>
      <w:r w:rsidRPr="00705456">
        <w:t>Complaints or oversight mechanisms</w:t>
      </w:r>
    </w:p>
    <w:p w14:paraId="3B3E5090" w14:textId="77777777" w:rsidR="00705456" w:rsidRPr="00705456" w:rsidRDefault="00705456" w:rsidP="008D0E9E">
      <w:pPr>
        <w:numPr>
          <w:ilvl w:val="1"/>
          <w:numId w:val="5"/>
        </w:numPr>
        <w:tabs>
          <w:tab w:val="num" w:pos="1080"/>
        </w:tabs>
        <w:spacing w:after="160" w:line="278" w:lineRule="auto"/>
      </w:pPr>
      <w:r w:rsidRPr="00705456">
        <w:t>Workforce frameworks</w:t>
      </w:r>
    </w:p>
    <w:p w14:paraId="4949DFCE" w14:textId="4EA0D3BD" w:rsidR="00705456" w:rsidRPr="00705456" w:rsidRDefault="00705456" w:rsidP="008D0E9E">
      <w:pPr>
        <w:numPr>
          <w:ilvl w:val="0"/>
          <w:numId w:val="6"/>
        </w:numPr>
        <w:spacing w:after="160" w:line="278" w:lineRule="auto"/>
      </w:pPr>
      <w:r w:rsidRPr="00705456">
        <w:t>Who has authority to change this system lever?</w:t>
      </w:r>
    </w:p>
    <w:p w14:paraId="321BAEF0" w14:textId="2798117A" w:rsidR="00705456" w:rsidRPr="00705456" w:rsidRDefault="00705456" w:rsidP="008D0E9E">
      <w:pPr>
        <w:numPr>
          <w:ilvl w:val="0"/>
          <w:numId w:val="6"/>
        </w:numPr>
        <w:spacing w:after="160" w:line="278" w:lineRule="auto"/>
      </w:pPr>
      <w:r w:rsidRPr="00705456">
        <w:t>What evidence could support implementation?</w:t>
      </w:r>
    </w:p>
    <w:p w14:paraId="5E63A6C4" w14:textId="2010DD02" w:rsidR="00705456" w:rsidRPr="00705456" w:rsidRDefault="00705456" w:rsidP="00934DB7">
      <w:pPr>
        <w:pStyle w:val="Heading2"/>
        <w:spacing w:after="0"/>
      </w:pPr>
      <w:bookmarkStart w:id="28" w:name="_Toc223885218"/>
      <w:bookmarkStart w:id="29" w:name="_Toc223944313"/>
      <w:r w:rsidRPr="00705456">
        <w:t>Accountability gap</w:t>
      </w:r>
      <w:bookmarkEnd w:id="28"/>
      <w:bookmarkEnd w:id="29"/>
    </w:p>
    <w:p w14:paraId="4769CE5D" w14:textId="2F577057" w:rsidR="00705456" w:rsidRPr="00705456" w:rsidRDefault="00030062" w:rsidP="00705456">
      <w:pPr>
        <w:spacing w:after="160" w:line="278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D1F0844" wp14:editId="03CF0892">
                <wp:simplePos x="0" y="0"/>
                <wp:positionH relativeFrom="margin">
                  <wp:align>right</wp:align>
                </wp:positionH>
                <wp:positionV relativeFrom="paragraph">
                  <wp:posOffset>308751</wp:posOffset>
                </wp:positionV>
                <wp:extent cx="2519680" cy="2519680"/>
                <wp:effectExtent l="0" t="0" r="0" b="0"/>
                <wp:wrapTight wrapText="bothSides">
                  <wp:wrapPolygon edited="0">
                    <wp:start x="8819" y="0"/>
                    <wp:lineTo x="7512" y="163"/>
                    <wp:lineTo x="3266" y="2123"/>
                    <wp:lineTo x="2286" y="3756"/>
                    <wp:lineTo x="1143" y="5226"/>
                    <wp:lineTo x="0" y="7839"/>
                    <wp:lineTo x="0" y="13228"/>
                    <wp:lineTo x="817" y="15677"/>
                    <wp:lineTo x="2450" y="18290"/>
                    <wp:lineTo x="6206" y="20903"/>
                    <wp:lineTo x="8492" y="21393"/>
                    <wp:lineTo x="12901" y="21393"/>
                    <wp:lineTo x="15188" y="20903"/>
                    <wp:lineTo x="18944" y="18290"/>
                    <wp:lineTo x="20577" y="15677"/>
                    <wp:lineTo x="21393" y="13228"/>
                    <wp:lineTo x="21393" y="7839"/>
                    <wp:lineTo x="20250" y="5226"/>
                    <wp:lineTo x="18617" y="3103"/>
                    <wp:lineTo x="18127" y="2123"/>
                    <wp:lineTo x="14044" y="163"/>
                    <wp:lineTo x="12575" y="0"/>
                    <wp:lineTo x="8819" y="0"/>
                  </wp:wrapPolygon>
                </wp:wrapTight>
                <wp:docPr id="197766233" name="Flowchart: Connector 1" descr="Accountability g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9680" cy="251968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B09EF" w14:textId="760BF14C" w:rsidR="00567437" w:rsidRPr="00933BBE" w:rsidRDefault="00567437" w:rsidP="005674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Accountability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0844" id="_x0000_s1029" type="#_x0000_t120" alt="Accountability gap" style="position:absolute;margin-left:147.2pt;margin-top:24.3pt;width:198.4pt;height:198.4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" fillcolor="#614393 [3208]" stroked="f">
                <o:lock v:ext="edit" aspectratio="t"/>
                <v:textbox>
                  <w:txbxContent>
                    <w:p w14:paraId="05AB09EF" w14:textId="760BF14C" w:rsidR="00567437" w:rsidRPr="00933BBE" w:rsidRDefault="00567437" w:rsidP="005674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Accountability gap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>P</w:t>
      </w:r>
      <w:r w:rsidR="00705456" w:rsidRPr="00705456">
        <w:t>rogress may stall if accountability mechanisms are weak.</w:t>
      </w:r>
      <w:r w:rsidR="00A83F83">
        <w:t xml:space="preserve"> </w:t>
      </w:r>
      <w:r w:rsidR="00705456" w:rsidRPr="00705456">
        <w:t>Research teams may consider:</w:t>
      </w:r>
    </w:p>
    <w:p w14:paraId="411EA458" w14:textId="564C7E05" w:rsidR="00705456" w:rsidRPr="00705456" w:rsidRDefault="00705456" w:rsidP="000F7733">
      <w:pPr>
        <w:pStyle w:val="Heading3"/>
      </w:pPr>
      <w:bookmarkStart w:id="30" w:name="_Toc223885219"/>
      <w:r w:rsidRPr="00705456">
        <w:t>Risks to reform</w:t>
      </w:r>
      <w:bookmarkEnd w:id="30"/>
    </w:p>
    <w:p w14:paraId="4F93A6A6" w14:textId="13101FFE" w:rsidR="00705456" w:rsidRPr="00705456" w:rsidRDefault="00705456" w:rsidP="008D0E9E">
      <w:pPr>
        <w:numPr>
          <w:ilvl w:val="0"/>
          <w:numId w:val="7"/>
        </w:numPr>
        <w:spacing w:after="160" w:line="278" w:lineRule="auto"/>
      </w:pPr>
      <w:r w:rsidRPr="00705456">
        <w:t>Political resistance</w:t>
      </w:r>
    </w:p>
    <w:p w14:paraId="6E6D109C" w14:textId="216800D5" w:rsidR="00705456" w:rsidRPr="00705456" w:rsidRDefault="00705456" w:rsidP="008D0E9E">
      <w:pPr>
        <w:numPr>
          <w:ilvl w:val="0"/>
          <w:numId w:val="7"/>
        </w:numPr>
        <w:spacing w:after="160" w:line="278" w:lineRule="auto"/>
      </w:pPr>
      <w:r w:rsidRPr="00705456">
        <w:t>Regulatory inertia</w:t>
      </w:r>
    </w:p>
    <w:p w14:paraId="6923167F" w14:textId="6A9CCD3A" w:rsidR="00705456" w:rsidRPr="00705456" w:rsidRDefault="00705456" w:rsidP="008D0E9E">
      <w:pPr>
        <w:numPr>
          <w:ilvl w:val="0"/>
          <w:numId w:val="7"/>
        </w:numPr>
        <w:spacing w:after="160" w:line="278" w:lineRule="auto"/>
      </w:pPr>
      <w:r w:rsidRPr="00705456">
        <w:t>Workforce capability gaps</w:t>
      </w:r>
    </w:p>
    <w:p w14:paraId="022300A6" w14:textId="4CE23E5D" w:rsidR="00705456" w:rsidRPr="00705456" w:rsidRDefault="00705456" w:rsidP="008D0E9E">
      <w:pPr>
        <w:numPr>
          <w:ilvl w:val="0"/>
          <w:numId w:val="7"/>
        </w:numPr>
        <w:spacing w:after="160" w:line="278" w:lineRule="auto"/>
      </w:pPr>
      <w:r w:rsidRPr="00705456">
        <w:t>Funding constraints</w:t>
      </w:r>
    </w:p>
    <w:p w14:paraId="13DC931C" w14:textId="77777777" w:rsidR="00705456" w:rsidRPr="00705456" w:rsidRDefault="00705456" w:rsidP="000F7733">
      <w:pPr>
        <w:pStyle w:val="Heading3"/>
      </w:pPr>
      <w:bookmarkStart w:id="31" w:name="_Toc223885220"/>
      <w:r w:rsidRPr="00705456">
        <w:t>Strengthening accountability</w:t>
      </w:r>
      <w:bookmarkEnd w:id="31"/>
    </w:p>
    <w:p w14:paraId="1004527F" w14:textId="349C04B1" w:rsidR="00705456" w:rsidRPr="00705456" w:rsidRDefault="00705456" w:rsidP="00705456">
      <w:pPr>
        <w:spacing w:after="160" w:line="278" w:lineRule="auto"/>
      </w:pPr>
      <w:r w:rsidRPr="00705456">
        <w:t>Research may contribute</w:t>
      </w:r>
      <w:r w:rsidR="00E95A47">
        <w:t xml:space="preserve"> to </w:t>
      </w:r>
      <w:r w:rsidRPr="00705456">
        <w:t>accountability through:</w:t>
      </w:r>
    </w:p>
    <w:p w14:paraId="10DD9AE5" w14:textId="77777777" w:rsidR="00705456" w:rsidRPr="00705456" w:rsidRDefault="00705456" w:rsidP="008D0E9E">
      <w:pPr>
        <w:numPr>
          <w:ilvl w:val="0"/>
          <w:numId w:val="8"/>
        </w:numPr>
        <w:spacing w:after="160" w:line="278" w:lineRule="auto"/>
      </w:pPr>
      <w:r w:rsidRPr="00705456">
        <w:t>reporting mechanisms</w:t>
      </w:r>
    </w:p>
    <w:p w14:paraId="208C04FB" w14:textId="77777777" w:rsidR="00705456" w:rsidRPr="00705456" w:rsidRDefault="00705456" w:rsidP="008D0E9E">
      <w:pPr>
        <w:numPr>
          <w:ilvl w:val="0"/>
          <w:numId w:val="8"/>
        </w:numPr>
        <w:spacing w:after="160" w:line="278" w:lineRule="auto"/>
      </w:pPr>
      <w:r w:rsidRPr="00705456">
        <w:t>public transparency</w:t>
      </w:r>
    </w:p>
    <w:p w14:paraId="36A7D718" w14:textId="77777777" w:rsidR="00705456" w:rsidRPr="00705456" w:rsidRDefault="00705456" w:rsidP="008D0E9E">
      <w:pPr>
        <w:numPr>
          <w:ilvl w:val="0"/>
          <w:numId w:val="8"/>
        </w:numPr>
        <w:spacing w:after="160" w:line="278" w:lineRule="auto"/>
      </w:pPr>
      <w:r w:rsidRPr="00705456">
        <w:t>legislative triggers</w:t>
      </w:r>
    </w:p>
    <w:p w14:paraId="5FF37940" w14:textId="77777777" w:rsidR="00705456" w:rsidRPr="00705456" w:rsidRDefault="00705456" w:rsidP="008D0E9E">
      <w:pPr>
        <w:numPr>
          <w:ilvl w:val="0"/>
          <w:numId w:val="8"/>
        </w:numPr>
        <w:spacing w:after="160" w:line="278" w:lineRule="auto"/>
      </w:pPr>
      <w:r w:rsidRPr="00705456">
        <w:t>alignment with oversight bodies.</w:t>
      </w:r>
    </w:p>
    <w:p w14:paraId="27B82CC9" w14:textId="6D0A4ADE" w:rsidR="00705456" w:rsidRPr="00705456" w:rsidRDefault="00705456" w:rsidP="004A0087">
      <w:pPr>
        <w:pStyle w:val="Heading2"/>
        <w:spacing w:after="0"/>
      </w:pPr>
      <w:bookmarkStart w:id="32" w:name="_Toc223885221"/>
      <w:bookmarkStart w:id="33" w:name="_Toc223944314"/>
      <w:r w:rsidRPr="00705456">
        <w:t>Opportunity for research</w:t>
      </w:r>
      <w:bookmarkEnd w:id="32"/>
      <w:bookmarkEnd w:id="33"/>
    </w:p>
    <w:p w14:paraId="513B6C72" w14:textId="454EC1AB" w:rsidR="00705456" w:rsidRPr="00705456" w:rsidRDefault="008B5E6C" w:rsidP="00705456">
      <w:pPr>
        <w:spacing w:after="160" w:line="278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6F0E2BF" wp14:editId="559D4225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19680" cy="2519680"/>
                <wp:effectExtent l="0" t="0" r="0" b="0"/>
                <wp:wrapTight wrapText="bothSides">
                  <wp:wrapPolygon edited="0">
                    <wp:start x="8819" y="0"/>
                    <wp:lineTo x="7512" y="163"/>
                    <wp:lineTo x="3266" y="2123"/>
                    <wp:lineTo x="2286" y="3756"/>
                    <wp:lineTo x="1143" y="5226"/>
                    <wp:lineTo x="0" y="7839"/>
                    <wp:lineTo x="0" y="13228"/>
                    <wp:lineTo x="817" y="15677"/>
                    <wp:lineTo x="2450" y="18290"/>
                    <wp:lineTo x="6206" y="20903"/>
                    <wp:lineTo x="8492" y="21393"/>
                    <wp:lineTo x="12901" y="21393"/>
                    <wp:lineTo x="15188" y="20903"/>
                    <wp:lineTo x="18944" y="18290"/>
                    <wp:lineTo x="20577" y="15677"/>
                    <wp:lineTo x="21393" y="13228"/>
                    <wp:lineTo x="21393" y="7839"/>
                    <wp:lineTo x="20250" y="5226"/>
                    <wp:lineTo x="18617" y="3103"/>
                    <wp:lineTo x="18127" y="2123"/>
                    <wp:lineTo x="14044" y="163"/>
                    <wp:lineTo x="12575" y="0"/>
                    <wp:lineTo x="8819" y="0"/>
                  </wp:wrapPolygon>
                </wp:wrapTight>
                <wp:docPr id="1208046387" name="Flowchart: Connector 1" descr="Opportunity for resear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9680" cy="2519680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5B3D9" w14:textId="7C0EB012" w:rsidR="00C4518C" w:rsidRPr="00933BBE" w:rsidRDefault="00C4518C" w:rsidP="00C4518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Opportunity </w:t>
                            </w:r>
                            <w:r w:rsidR="004A008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for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E2BF" id="_x0000_s1030" type="#_x0000_t120" alt="Opportunity for research" style="position:absolute;margin-left:147.2pt;margin-top:1.2pt;width:198.4pt;height:198.4pt;z-index:-2516582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" fillcolor="#969ca3 [3209]" stroked="f">
                <o:lock v:ext="edit" aspectratio="t"/>
                <v:textbox>
                  <w:txbxContent>
                    <w:p w14:paraId="5735B3D9" w14:textId="7C0EB012" w:rsidR="00C4518C" w:rsidRPr="00933BBE" w:rsidRDefault="00C4518C" w:rsidP="00C4518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Opportunity </w:t>
                      </w:r>
                      <w:r w:rsidR="004A0087"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for research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5456" w:rsidRPr="00705456">
        <w:t>Research can play an important role in strengthening the evidence that supports reform.</w:t>
      </w:r>
      <w:r>
        <w:t xml:space="preserve"> </w:t>
      </w:r>
      <w:r w:rsidR="00705456" w:rsidRPr="00705456">
        <w:t>Research teams may consider:</w:t>
      </w:r>
    </w:p>
    <w:p w14:paraId="6FBC32BE" w14:textId="2B35CF59" w:rsidR="00705456" w:rsidRPr="00705456" w:rsidRDefault="00705456" w:rsidP="000F7733">
      <w:pPr>
        <w:pStyle w:val="Heading3"/>
      </w:pPr>
      <w:bookmarkStart w:id="34" w:name="_Toc223885222"/>
      <w:r w:rsidRPr="00705456">
        <w:t>Lived experience and cultural authority</w:t>
      </w:r>
      <w:bookmarkEnd w:id="34"/>
    </w:p>
    <w:p w14:paraId="21F3A15B" w14:textId="3B372CA2" w:rsidR="00705456" w:rsidRPr="00705456" w:rsidRDefault="00705456" w:rsidP="00705456">
      <w:pPr>
        <w:spacing w:after="160" w:line="278" w:lineRule="auto"/>
      </w:pPr>
      <w:r w:rsidRPr="00705456">
        <w:t>How are people directly affected embedded within the project?</w:t>
      </w:r>
    </w:p>
    <w:p w14:paraId="1A81DD21" w14:textId="77777777" w:rsidR="00705456" w:rsidRPr="00705456" w:rsidRDefault="00705456" w:rsidP="00705456">
      <w:pPr>
        <w:spacing w:after="160" w:line="278" w:lineRule="auto"/>
      </w:pPr>
      <w:r w:rsidRPr="00705456">
        <w:t>Possible roles may include:</w:t>
      </w:r>
    </w:p>
    <w:p w14:paraId="030CEFE4" w14:textId="2854F31F" w:rsidR="00705456" w:rsidRPr="00705456" w:rsidRDefault="00705456" w:rsidP="008D0E9E">
      <w:pPr>
        <w:numPr>
          <w:ilvl w:val="0"/>
          <w:numId w:val="9"/>
        </w:numPr>
        <w:spacing w:after="160" w:line="278" w:lineRule="auto"/>
      </w:pPr>
      <w:r w:rsidRPr="00705456">
        <w:t>advisory members</w:t>
      </w:r>
    </w:p>
    <w:p w14:paraId="225BBA72" w14:textId="77777777" w:rsidR="00705456" w:rsidRPr="00705456" w:rsidRDefault="00705456" w:rsidP="008D0E9E">
      <w:pPr>
        <w:numPr>
          <w:ilvl w:val="0"/>
          <w:numId w:val="9"/>
        </w:numPr>
        <w:spacing w:after="160" w:line="278" w:lineRule="auto"/>
      </w:pPr>
      <w:r w:rsidRPr="00705456">
        <w:t>co-design partners</w:t>
      </w:r>
    </w:p>
    <w:p w14:paraId="340C7F3C" w14:textId="76CEAC5D" w:rsidR="00705456" w:rsidRPr="00705456" w:rsidRDefault="00705456" w:rsidP="008D0E9E">
      <w:pPr>
        <w:numPr>
          <w:ilvl w:val="0"/>
          <w:numId w:val="9"/>
        </w:numPr>
        <w:spacing w:after="160" w:line="278" w:lineRule="auto"/>
      </w:pPr>
      <w:r w:rsidRPr="00705456">
        <w:t>paid research team members</w:t>
      </w:r>
    </w:p>
    <w:p w14:paraId="5E79E6C7" w14:textId="77777777" w:rsidR="00705456" w:rsidRPr="00705456" w:rsidRDefault="00705456" w:rsidP="008D0E9E">
      <w:pPr>
        <w:numPr>
          <w:ilvl w:val="0"/>
          <w:numId w:val="9"/>
        </w:numPr>
        <w:spacing w:after="160" w:line="278" w:lineRule="auto"/>
      </w:pPr>
      <w:r w:rsidRPr="00705456">
        <w:t>decision-making roles within the project</w:t>
      </w:r>
    </w:p>
    <w:p w14:paraId="05975329" w14:textId="77777777" w:rsidR="00705456" w:rsidRPr="00705456" w:rsidRDefault="00705456" w:rsidP="008D0E9E">
      <w:pPr>
        <w:numPr>
          <w:ilvl w:val="0"/>
          <w:numId w:val="9"/>
        </w:numPr>
        <w:spacing w:after="160" w:line="278" w:lineRule="auto"/>
      </w:pPr>
      <w:r w:rsidRPr="00705456">
        <w:t>co-authors of outputs.</w:t>
      </w:r>
    </w:p>
    <w:p w14:paraId="195E10D5" w14:textId="77777777" w:rsidR="00705456" w:rsidRPr="00705456" w:rsidRDefault="00705456" w:rsidP="00705456">
      <w:pPr>
        <w:spacing w:after="160" w:line="278" w:lineRule="auto"/>
      </w:pPr>
      <w:r w:rsidRPr="00705456">
        <w:t>Teams may also reflect on:</w:t>
      </w:r>
    </w:p>
    <w:p w14:paraId="48B8730D" w14:textId="77777777" w:rsidR="00705456" w:rsidRPr="00705456" w:rsidRDefault="00705456" w:rsidP="008D0E9E">
      <w:pPr>
        <w:numPr>
          <w:ilvl w:val="0"/>
          <w:numId w:val="10"/>
        </w:numPr>
        <w:spacing w:after="160" w:line="278" w:lineRule="auto"/>
      </w:pPr>
      <w:r w:rsidRPr="00705456">
        <w:t>power-sharing arrangements</w:t>
      </w:r>
    </w:p>
    <w:p w14:paraId="672291FC" w14:textId="77777777" w:rsidR="00705456" w:rsidRPr="00705456" w:rsidRDefault="00705456" w:rsidP="008D0E9E">
      <w:pPr>
        <w:numPr>
          <w:ilvl w:val="0"/>
          <w:numId w:val="10"/>
        </w:numPr>
        <w:spacing w:after="160" w:line="278" w:lineRule="auto"/>
      </w:pPr>
      <w:r w:rsidRPr="00705456">
        <w:t>cultural safety and rights-based approaches</w:t>
      </w:r>
    </w:p>
    <w:p w14:paraId="34476FB4" w14:textId="77777777" w:rsidR="00705456" w:rsidRPr="00705456" w:rsidRDefault="00705456" w:rsidP="008D0E9E">
      <w:pPr>
        <w:numPr>
          <w:ilvl w:val="0"/>
          <w:numId w:val="10"/>
        </w:numPr>
        <w:spacing w:after="160" w:line="278" w:lineRule="auto"/>
      </w:pPr>
      <w:r w:rsidRPr="00705456">
        <w:t>accessibility of outputs.</w:t>
      </w:r>
    </w:p>
    <w:p w14:paraId="3395093C" w14:textId="77777777" w:rsidR="00705456" w:rsidRPr="00705456" w:rsidRDefault="00705456" w:rsidP="00705456">
      <w:pPr>
        <w:spacing w:after="160" w:line="278" w:lineRule="auto"/>
        <w:rPr>
          <w:b/>
          <w:bCs/>
        </w:rPr>
      </w:pPr>
      <w:r w:rsidRPr="00705456">
        <w:rPr>
          <w:b/>
          <w:bCs/>
        </w:rPr>
        <w:t>Inclusive perspectives</w:t>
      </w:r>
    </w:p>
    <w:p w14:paraId="77900927" w14:textId="5A3ABAC8" w:rsidR="00705456" w:rsidRPr="00705456" w:rsidRDefault="00705456" w:rsidP="00705456">
      <w:pPr>
        <w:spacing w:after="160" w:line="278" w:lineRule="auto"/>
      </w:pPr>
      <w:r w:rsidRPr="00705456">
        <w:t xml:space="preserve">Research </w:t>
      </w:r>
      <w:r w:rsidR="00A32646">
        <w:t>must</w:t>
      </w:r>
      <w:r w:rsidRPr="00705456">
        <w:t xml:space="preserve"> consider the experiences of diverse communities, including:</w:t>
      </w:r>
    </w:p>
    <w:p w14:paraId="6BBC0C82" w14:textId="77777777" w:rsidR="00705456" w:rsidRPr="00705456" w:rsidRDefault="00705456" w:rsidP="008D0E9E">
      <w:pPr>
        <w:numPr>
          <w:ilvl w:val="0"/>
          <w:numId w:val="11"/>
        </w:numPr>
        <w:spacing w:after="160" w:line="278" w:lineRule="auto"/>
      </w:pPr>
      <w:r w:rsidRPr="00705456">
        <w:t>First Nations communities</w:t>
      </w:r>
    </w:p>
    <w:p w14:paraId="2838D46F" w14:textId="77777777" w:rsidR="00705456" w:rsidRPr="00705456" w:rsidRDefault="00705456" w:rsidP="008D0E9E">
      <w:pPr>
        <w:numPr>
          <w:ilvl w:val="0"/>
          <w:numId w:val="11"/>
        </w:numPr>
        <w:spacing w:after="160" w:line="278" w:lineRule="auto"/>
      </w:pPr>
      <w:r w:rsidRPr="00705456">
        <w:t>regional and remote communities</w:t>
      </w:r>
    </w:p>
    <w:p w14:paraId="273A6DE2" w14:textId="77777777" w:rsidR="00705456" w:rsidRPr="00705456" w:rsidRDefault="00705456" w:rsidP="008D0E9E">
      <w:pPr>
        <w:numPr>
          <w:ilvl w:val="0"/>
          <w:numId w:val="11"/>
        </w:numPr>
        <w:spacing w:after="160" w:line="278" w:lineRule="auto"/>
      </w:pPr>
      <w:r w:rsidRPr="00705456">
        <w:t>culturally and linguistically diverse communities</w:t>
      </w:r>
    </w:p>
    <w:p w14:paraId="07963C7D" w14:textId="77777777" w:rsidR="00705456" w:rsidRPr="00705456" w:rsidRDefault="00705456" w:rsidP="008D0E9E">
      <w:pPr>
        <w:numPr>
          <w:ilvl w:val="0"/>
          <w:numId w:val="11"/>
        </w:numPr>
        <w:spacing w:after="160" w:line="278" w:lineRule="auto"/>
      </w:pPr>
      <w:r w:rsidRPr="00705456">
        <w:t>LGBTQIA+ communities</w:t>
      </w:r>
    </w:p>
    <w:p w14:paraId="299B4288" w14:textId="77777777" w:rsidR="00705456" w:rsidRPr="00705456" w:rsidRDefault="00705456" w:rsidP="008D0E9E">
      <w:pPr>
        <w:numPr>
          <w:ilvl w:val="0"/>
          <w:numId w:val="11"/>
        </w:numPr>
        <w:spacing w:after="160" w:line="278" w:lineRule="auto"/>
      </w:pPr>
      <w:r w:rsidRPr="00705456">
        <w:t>people across different age groups.</w:t>
      </w:r>
    </w:p>
    <w:p w14:paraId="69B7AEB7" w14:textId="77777777" w:rsidR="00705456" w:rsidRPr="00705456" w:rsidRDefault="00705456" w:rsidP="00705456">
      <w:pPr>
        <w:spacing w:after="160" w:line="278" w:lineRule="auto"/>
        <w:rPr>
          <w:b/>
          <w:bCs/>
        </w:rPr>
      </w:pPr>
      <w:r w:rsidRPr="00705456">
        <w:rPr>
          <w:b/>
          <w:bCs/>
        </w:rPr>
        <w:t>Impact milestones</w:t>
      </w:r>
    </w:p>
    <w:p w14:paraId="6207C82B" w14:textId="5B33A42B" w:rsidR="00705456" w:rsidRPr="00705456" w:rsidRDefault="00705456" w:rsidP="00705456">
      <w:pPr>
        <w:spacing w:after="160" w:line="278" w:lineRule="auto"/>
      </w:pPr>
      <w:r w:rsidRPr="00705456">
        <w:t>Research teams may consider what change could occur</w:t>
      </w:r>
      <w:r w:rsidR="00C81778">
        <w:t xml:space="preserve"> in the short term </w:t>
      </w:r>
      <w:r w:rsidRPr="008D2C63">
        <w:t>(within 12 months)</w:t>
      </w:r>
      <w:r w:rsidR="00C81778">
        <w:t xml:space="preserve"> and m</w:t>
      </w:r>
      <w:r w:rsidRPr="008D2C63">
        <w:t>edium term (1–3 years)</w:t>
      </w:r>
      <w:r w:rsidR="00C81778">
        <w:t xml:space="preserve">. </w:t>
      </w:r>
      <w:r w:rsidRPr="00705456">
        <w:t>These milestones may relate to policy discussions, regulatory reviews, implementation pilots or adoption of evidence.</w:t>
      </w:r>
    </w:p>
    <w:p w14:paraId="30EC5FE6" w14:textId="77777777" w:rsidR="006A4CEF" w:rsidRDefault="004E25A8" w:rsidP="006A4CEF">
      <w:pPr>
        <w:pStyle w:val="Heading1"/>
      </w:pPr>
      <w:bookmarkStart w:id="35" w:name="_Toc223885223"/>
      <w:bookmarkStart w:id="36" w:name="_Toc223944315"/>
      <w:r>
        <w:t>Accessible an</w:t>
      </w:r>
      <w:r w:rsidR="000F7733">
        <w:t>d inclusive communities</w:t>
      </w:r>
      <w:bookmarkEnd w:id="35"/>
      <w:bookmarkEnd w:id="36"/>
    </w:p>
    <w:p w14:paraId="66B8A457" w14:textId="19FD993C" w:rsidR="00377C4B" w:rsidRPr="00377C4B" w:rsidRDefault="000F7733" w:rsidP="006A4CEF">
      <w:pPr>
        <w:pStyle w:val="Heading2"/>
      </w:pPr>
      <w:bookmarkStart w:id="37" w:name="_Toc223885224"/>
      <w:bookmarkStart w:id="38" w:name="_Toc223944316"/>
      <w:r>
        <w:t>E</w:t>
      </w:r>
      <w:r w:rsidRPr="00377C4B">
        <w:t>vidence landscape</w:t>
      </w:r>
      <w:bookmarkEnd w:id="37"/>
      <w:bookmarkEnd w:id="38"/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477"/>
        <w:gridCol w:w="1574"/>
        <w:gridCol w:w="2645"/>
        <w:gridCol w:w="2791"/>
      </w:tblGrid>
      <w:tr w:rsidR="005A79D4" w:rsidRPr="005A79D4" w14:paraId="7EB517DE" w14:textId="77777777" w:rsidTr="005A7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F03B16" w14:textId="70CC2291" w:rsidR="005A79D4" w:rsidRPr="005A79D4" w:rsidRDefault="005A79D4" w:rsidP="005A79D4">
            <w:pPr>
              <w:spacing w:after="160" w:line="278" w:lineRule="auto"/>
              <w:rPr>
                <w:i/>
                <w:iCs/>
              </w:rPr>
            </w:pPr>
            <w:r w:rsidRPr="005A79D4">
              <w:t>Source</w:t>
            </w:r>
          </w:p>
        </w:tc>
        <w:tc>
          <w:tcPr>
            <w:tcW w:w="0" w:type="auto"/>
            <w:hideMark/>
          </w:tcPr>
          <w:p w14:paraId="2C178792" w14:textId="40D4788E" w:rsidR="005A79D4" w:rsidRPr="005A79D4" w:rsidRDefault="005A79D4" w:rsidP="005A79D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A79D4">
              <w:t>Type</w:t>
            </w:r>
          </w:p>
        </w:tc>
        <w:tc>
          <w:tcPr>
            <w:tcW w:w="0" w:type="auto"/>
            <w:hideMark/>
          </w:tcPr>
          <w:p w14:paraId="1DB8B7F2" w14:textId="7ED9368C" w:rsidR="005A79D4" w:rsidRPr="005A79D4" w:rsidRDefault="00D860F8" w:rsidP="005A79D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Link to NDRP Research Agenda</w:t>
            </w:r>
          </w:p>
        </w:tc>
        <w:tc>
          <w:tcPr>
            <w:tcW w:w="0" w:type="auto"/>
            <w:hideMark/>
          </w:tcPr>
          <w:p w14:paraId="52757277" w14:textId="1D7A7618" w:rsidR="005A79D4" w:rsidRPr="005A79D4" w:rsidRDefault="00145B5A" w:rsidP="005A79D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 xml:space="preserve">Research teams may </w:t>
            </w:r>
            <w:r w:rsidR="00D860F8">
              <w:t>consider</w:t>
            </w:r>
          </w:p>
        </w:tc>
      </w:tr>
      <w:tr w:rsidR="005A79D4" w:rsidRPr="005A79D4" w14:paraId="45DDD492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619B49" w14:textId="4DFB68B5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Australian Policy Online (APO)</w:t>
            </w:r>
          </w:p>
        </w:tc>
        <w:tc>
          <w:tcPr>
            <w:tcW w:w="0" w:type="auto"/>
            <w:hideMark/>
          </w:tcPr>
          <w:p w14:paraId="2F8EE7E8" w14:textId="573305B9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Research repository</w:t>
            </w:r>
          </w:p>
        </w:tc>
        <w:tc>
          <w:tcPr>
            <w:tcW w:w="0" w:type="auto"/>
            <w:hideMark/>
          </w:tcPr>
          <w:p w14:paraId="18638574" w14:textId="5E96ECEA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Academic and policy research on inclusion, accessibility, planning, transport, digital systems</w:t>
            </w:r>
          </w:p>
        </w:tc>
        <w:tc>
          <w:tcPr>
            <w:tcW w:w="0" w:type="auto"/>
            <w:hideMark/>
          </w:tcPr>
          <w:p w14:paraId="3D036245" w14:textId="5DF57A07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Has this barrier already been researched? What structural gap remains?</w:t>
            </w:r>
          </w:p>
        </w:tc>
      </w:tr>
      <w:tr w:rsidR="005A79D4" w:rsidRPr="005A79D4" w14:paraId="39EDC497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30C745" w14:textId="07C16644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Disability Royal Commission Final Report</w:t>
            </w:r>
          </w:p>
        </w:tc>
        <w:tc>
          <w:tcPr>
            <w:tcW w:w="0" w:type="auto"/>
            <w:hideMark/>
          </w:tcPr>
          <w:p w14:paraId="6C5980EC" w14:textId="5285F352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National inquiry</w:t>
            </w:r>
          </w:p>
        </w:tc>
        <w:tc>
          <w:tcPr>
            <w:tcW w:w="0" w:type="auto"/>
            <w:hideMark/>
          </w:tcPr>
          <w:p w14:paraId="40B3DC4A" w14:textId="2BD78AFB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Findings on exclusion in housing, transport, digital access, emergency response</w:t>
            </w:r>
          </w:p>
        </w:tc>
        <w:tc>
          <w:tcPr>
            <w:tcW w:w="0" w:type="auto"/>
            <w:hideMark/>
          </w:tcPr>
          <w:p w14:paraId="4F16D4C7" w14:textId="79813702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Which recommendations remain unimplemented? What reform levers were identified?</w:t>
            </w:r>
          </w:p>
        </w:tc>
      </w:tr>
      <w:tr w:rsidR="005A79D4" w:rsidRPr="005A79D4" w14:paraId="767A09AA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B96B7" w14:textId="3D67C6B1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Australia’s Disability Strategy (ADS) Outcome Area 2</w:t>
            </w:r>
          </w:p>
        </w:tc>
        <w:tc>
          <w:tcPr>
            <w:tcW w:w="0" w:type="auto"/>
            <w:hideMark/>
          </w:tcPr>
          <w:p w14:paraId="78F1DDB8" w14:textId="5CCD1DD2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National policy framework</w:t>
            </w:r>
          </w:p>
        </w:tc>
        <w:tc>
          <w:tcPr>
            <w:tcW w:w="0" w:type="auto"/>
            <w:hideMark/>
          </w:tcPr>
          <w:p w14:paraId="71D3C3C4" w14:textId="7DC38789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Defines inclusive homes and communities priority</w:t>
            </w:r>
          </w:p>
        </w:tc>
        <w:tc>
          <w:tcPr>
            <w:tcW w:w="0" w:type="auto"/>
            <w:hideMark/>
          </w:tcPr>
          <w:p w14:paraId="640A3401" w14:textId="412A3CC2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How does your project directly contribute to Outcome Area 2?</w:t>
            </w:r>
          </w:p>
        </w:tc>
      </w:tr>
      <w:tr w:rsidR="005A79D4" w:rsidRPr="005A79D4" w14:paraId="4D75C23C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1AFE6" w14:textId="56FB6569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 xml:space="preserve">National Construction Code (NCC) &amp; ABCB </w:t>
            </w:r>
            <w:r w:rsidR="00D47AC9" w:rsidRPr="005A79D4">
              <w:rPr>
                <w:rStyle w:val="Strong"/>
                <w:b/>
                <w:bCs/>
              </w:rPr>
              <w:t>consultation pap</w:t>
            </w:r>
            <w:r w:rsidRPr="005A79D4">
              <w:rPr>
                <w:rStyle w:val="Strong"/>
                <w:b/>
                <w:bCs/>
              </w:rPr>
              <w:t>ers</w:t>
            </w:r>
          </w:p>
        </w:tc>
        <w:tc>
          <w:tcPr>
            <w:tcW w:w="0" w:type="auto"/>
            <w:hideMark/>
          </w:tcPr>
          <w:p w14:paraId="0155EF30" w14:textId="5BC744DE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Regulatory standards</w:t>
            </w:r>
          </w:p>
        </w:tc>
        <w:tc>
          <w:tcPr>
            <w:tcW w:w="0" w:type="auto"/>
            <w:hideMark/>
          </w:tcPr>
          <w:p w14:paraId="58C5B5BD" w14:textId="3E445CD4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Built environment accessibility standards</w:t>
            </w:r>
          </w:p>
        </w:tc>
        <w:tc>
          <w:tcPr>
            <w:tcW w:w="0" w:type="auto"/>
            <w:hideMark/>
          </w:tcPr>
          <w:p w14:paraId="33DA016F" w14:textId="1A7A9935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Where are the compliance gaps? What reform windows are active?</w:t>
            </w:r>
          </w:p>
        </w:tc>
      </w:tr>
      <w:tr w:rsidR="005A79D4" w:rsidRPr="005A79D4" w14:paraId="5940DF97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A95981" w14:textId="171CAED9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State</w:t>
            </w:r>
            <w:r w:rsidR="00D47AC9" w:rsidRPr="005A79D4">
              <w:rPr>
                <w:rStyle w:val="Strong"/>
                <w:b/>
                <w:bCs/>
              </w:rPr>
              <w:t xml:space="preserve"> and territory planning legislation reviews</w:t>
            </w:r>
          </w:p>
        </w:tc>
        <w:tc>
          <w:tcPr>
            <w:tcW w:w="0" w:type="auto"/>
            <w:hideMark/>
          </w:tcPr>
          <w:p w14:paraId="30DB7E4F" w14:textId="16C40400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Legislative reform</w:t>
            </w:r>
          </w:p>
        </w:tc>
        <w:tc>
          <w:tcPr>
            <w:tcW w:w="0" w:type="auto"/>
            <w:hideMark/>
          </w:tcPr>
          <w:p w14:paraId="6F896B5F" w14:textId="63013250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Planning scheme accessibility requirements</w:t>
            </w:r>
          </w:p>
        </w:tc>
        <w:tc>
          <w:tcPr>
            <w:tcW w:w="0" w:type="auto"/>
            <w:hideMark/>
          </w:tcPr>
          <w:p w14:paraId="05E91114" w14:textId="0F23EBF9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Are reforms underway? Is there an opportunity to influence a review?</w:t>
            </w:r>
          </w:p>
        </w:tc>
      </w:tr>
      <w:tr w:rsidR="005A79D4" w:rsidRPr="005A79D4" w14:paraId="63121A17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CE8DF5" w14:textId="25637DCB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Disability Standards for Accessible Public Transport</w:t>
            </w:r>
          </w:p>
        </w:tc>
        <w:tc>
          <w:tcPr>
            <w:tcW w:w="0" w:type="auto"/>
            <w:hideMark/>
          </w:tcPr>
          <w:p w14:paraId="1728AB46" w14:textId="721BC03D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National standard</w:t>
            </w:r>
          </w:p>
        </w:tc>
        <w:tc>
          <w:tcPr>
            <w:tcW w:w="0" w:type="auto"/>
            <w:hideMark/>
          </w:tcPr>
          <w:p w14:paraId="0E3F69E9" w14:textId="0D783306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Transport accessibility compliance framework</w:t>
            </w:r>
          </w:p>
        </w:tc>
        <w:tc>
          <w:tcPr>
            <w:tcW w:w="0" w:type="auto"/>
            <w:hideMark/>
          </w:tcPr>
          <w:p w14:paraId="31CEBC14" w14:textId="4FE25513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What enforcement gaps exist? What implementation delays persist?</w:t>
            </w:r>
          </w:p>
        </w:tc>
      </w:tr>
      <w:tr w:rsidR="005A79D4" w:rsidRPr="005A79D4" w14:paraId="6909B7C0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7FC17E" w14:textId="0408EBCF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Digital Accessibility Standards (WCAG &amp; Government Digital Service Standards)</w:t>
            </w:r>
          </w:p>
        </w:tc>
        <w:tc>
          <w:tcPr>
            <w:tcW w:w="0" w:type="auto"/>
            <w:hideMark/>
          </w:tcPr>
          <w:p w14:paraId="682ED025" w14:textId="0A0C59BA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Technical standard</w:t>
            </w:r>
          </w:p>
        </w:tc>
        <w:tc>
          <w:tcPr>
            <w:tcW w:w="0" w:type="auto"/>
            <w:hideMark/>
          </w:tcPr>
          <w:p w14:paraId="66F3FF52" w14:textId="6580D77D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Online accessibility requirements</w:t>
            </w:r>
          </w:p>
        </w:tc>
        <w:tc>
          <w:tcPr>
            <w:tcW w:w="0" w:type="auto"/>
            <w:hideMark/>
          </w:tcPr>
          <w:p w14:paraId="3996CB80" w14:textId="6262D876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Where is enforcement weak? How does procurement influence compliance?</w:t>
            </w:r>
          </w:p>
        </w:tc>
      </w:tr>
      <w:tr w:rsidR="005A79D4" w:rsidRPr="005A79D4" w14:paraId="0AD90803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DB412E" w14:textId="5EA84FBE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Infrastructure Australia / State Infrastructure Plans</w:t>
            </w:r>
          </w:p>
        </w:tc>
        <w:tc>
          <w:tcPr>
            <w:tcW w:w="0" w:type="auto"/>
            <w:hideMark/>
          </w:tcPr>
          <w:p w14:paraId="5A6041EC" w14:textId="243CB9C6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Strategic planning</w:t>
            </w:r>
          </w:p>
        </w:tc>
        <w:tc>
          <w:tcPr>
            <w:tcW w:w="0" w:type="auto"/>
            <w:hideMark/>
          </w:tcPr>
          <w:p w14:paraId="39CDEE20" w14:textId="1566CE3A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Capital investment priorities</w:t>
            </w:r>
          </w:p>
        </w:tc>
        <w:tc>
          <w:tcPr>
            <w:tcW w:w="0" w:type="auto"/>
            <w:hideMark/>
          </w:tcPr>
          <w:p w14:paraId="2C3510FA" w14:textId="08A32F76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Are accessibility criteria embedded in funding decisions?</w:t>
            </w:r>
          </w:p>
        </w:tc>
      </w:tr>
      <w:tr w:rsidR="005A79D4" w:rsidRPr="005A79D4" w14:paraId="6CCD513E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50F9D" w14:textId="3CECFAF2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Loca</w:t>
            </w:r>
            <w:r w:rsidR="00D47AC9" w:rsidRPr="005A79D4">
              <w:rPr>
                <w:rStyle w:val="Strong"/>
                <w:b/>
                <w:bCs/>
              </w:rPr>
              <w:t>l government planning sch</w:t>
            </w:r>
            <w:r w:rsidRPr="005A79D4">
              <w:rPr>
                <w:rStyle w:val="Strong"/>
                <w:b/>
                <w:bCs/>
              </w:rPr>
              <w:t>emes</w:t>
            </w:r>
          </w:p>
        </w:tc>
        <w:tc>
          <w:tcPr>
            <w:tcW w:w="0" w:type="auto"/>
            <w:hideMark/>
          </w:tcPr>
          <w:p w14:paraId="1A04E08A" w14:textId="1EFA1A90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Regulatory instruments</w:t>
            </w:r>
          </w:p>
        </w:tc>
        <w:tc>
          <w:tcPr>
            <w:tcW w:w="0" w:type="auto"/>
            <w:hideMark/>
          </w:tcPr>
          <w:p w14:paraId="4826D431" w14:textId="6A7A0EE6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Place-based implementation of accessibility</w:t>
            </w:r>
          </w:p>
        </w:tc>
        <w:tc>
          <w:tcPr>
            <w:tcW w:w="0" w:type="auto"/>
            <w:hideMark/>
          </w:tcPr>
          <w:p w14:paraId="14A72F46" w14:textId="2B82C816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How consistent are accessibility requirements across jurisdictions?</w:t>
            </w:r>
          </w:p>
        </w:tc>
      </w:tr>
      <w:tr w:rsidR="005A79D4" w:rsidRPr="005A79D4" w14:paraId="3C0CB835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295F0" w14:textId="741E9246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Em</w:t>
            </w:r>
            <w:r w:rsidR="00D47AC9" w:rsidRPr="005A79D4">
              <w:rPr>
                <w:rStyle w:val="Strong"/>
                <w:b/>
                <w:bCs/>
              </w:rPr>
              <w:t>ergency management frameworks (state/territ</w:t>
            </w:r>
            <w:r w:rsidRPr="005A79D4">
              <w:rPr>
                <w:rStyle w:val="Strong"/>
                <w:b/>
                <w:bCs/>
              </w:rPr>
              <w:t>ory)</w:t>
            </w:r>
          </w:p>
        </w:tc>
        <w:tc>
          <w:tcPr>
            <w:tcW w:w="0" w:type="auto"/>
            <w:hideMark/>
          </w:tcPr>
          <w:p w14:paraId="2D2EC692" w14:textId="7EC8E4AA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Policy framework</w:t>
            </w:r>
          </w:p>
        </w:tc>
        <w:tc>
          <w:tcPr>
            <w:tcW w:w="0" w:type="auto"/>
            <w:hideMark/>
          </w:tcPr>
          <w:p w14:paraId="76849339" w14:textId="260869ED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Disability inclusion in preparedness and response</w:t>
            </w:r>
          </w:p>
        </w:tc>
        <w:tc>
          <w:tcPr>
            <w:tcW w:w="0" w:type="auto"/>
            <w:hideMark/>
          </w:tcPr>
          <w:p w14:paraId="5710D6C9" w14:textId="10D2D855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Is inclusion embedded structurally or add-on?</w:t>
            </w:r>
          </w:p>
        </w:tc>
      </w:tr>
      <w:tr w:rsidR="005A79D4" w:rsidRPr="005A79D4" w14:paraId="082382FF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03A544" w14:textId="16E94102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 xml:space="preserve">AIHW </w:t>
            </w:r>
            <w:r w:rsidR="00D47AC9">
              <w:rPr>
                <w:rStyle w:val="Strong"/>
                <w:b/>
                <w:bCs/>
              </w:rPr>
              <w:t xml:space="preserve">and </w:t>
            </w:r>
            <w:r w:rsidRPr="005A79D4">
              <w:rPr>
                <w:rStyle w:val="Strong"/>
                <w:b/>
                <w:bCs/>
              </w:rPr>
              <w:t>ABS Data</w:t>
            </w:r>
          </w:p>
        </w:tc>
        <w:tc>
          <w:tcPr>
            <w:tcW w:w="0" w:type="auto"/>
            <w:hideMark/>
          </w:tcPr>
          <w:p w14:paraId="59E7FDA4" w14:textId="7E120AB8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National data</w:t>
            </w:r>
          </w:p>
        </w:tc>
        <w:tc>
          <w:tcPr>
            <w:tcW w:w="0" w:type="auto"/>
            <w:hideMark/>
          </w:tcPr>
          <w:p w14:paraId="33FA518C" w14:textId="429CD9EF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Participation rates, transport access, digital access disparities</w:t>
            </w:r>
          </w:p>
        </w:tc>
        <w:tc>
          <w:tcPr>
            <w:tcW w:w="0" w:type="auto"/>
            <w:hideMark/>
          </w:tcPr>
          <w:p w14:paraId="251740F3" w14:textId="34B096D6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What quantitative gaps remain? Is data linked to reform decisions?</w:t>
            </w:r>
          </w:p>
        </w:tc>
      </w:tr>
      <w:tr w:rsidR="005A79D4" w:rsidRPr="005A79D4" w14:paraId="27A9612F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652682" w14:textId="6E09DA6F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 xml:space="preserve">First Nations-led </w:t>
            </w:r>
            <w:r w:rsidR="003E4C43">
              <w:rPr>
                <w:rStyle w:val="Strong"/>
                <w:b/>
                <w:bCs/>
              </w:rPr>
              <w:t>r</w:t>
            </w:r>
            <w:r w:rsidRPr="005A79D4">
              <w:rPr>
                <w:rStyle w:val="Strong"/>
                <w:b/>
                <w:bCs/>
              </w:rPr>
              <w:t>eports</w:t>
            </w:r>
          </w:p>
        </w:tc>
        <w:tc>
          <w:tcPr>
            <w:tcW w:w="0" w:type="auto"/>
            <w:hideMark/>
          </w:tcPr>
          <w:p w14:paraId="24833A12" w14:textId="3CF7E057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Community-led evidence</w:t>
            </w:r>
          </w:p>
        </w:tc>
        <w:tc>
          <w:tcPr>
            <w:tcW w:w="0" w:type="auto"/>
            <w:hideMark/>
          </w:tcPr>
          <w:p w14:paraId="59578D25" w14:textId="49A6848D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Intersectional and place-based accessibility barriers</w:t>
            </w:r>
          </w:p>
        </w:tc>
        <w:tc>
          <w:tcPr>
            <w:tcW w:w="0" w:type="auto"/>
            <w:hideMark/>
          </w:tcPr>
          <w:p w14:paraId="0ECE9EA9" w14:textId="42EBF2B0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How do structural responses reflect cultural authority?</w:t>
            </w:r>
          </w:p>
        </w:tc>
      </w:tr>
      <w:tr w:rsidR="005A79D4" w:rsidRPr="005A79D4" w14:paraId="016ABE0E" w14:textId="77777777" w:rsidTr="005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020CDC" w14:textId="17130C39" w:rsidR="005A79D4" w:rsidRPr="005A79D4" w:rsidRDefault="005A79D4" w:rsidP="005A79D4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5A79D4">
              <w:rPr>
                <w:rStyle w:val="Strong"/>
                <w:b/>
                <w:bCs/>
              </w:rPr>
              <w:t>Productivity Commission Reports</w:t>
            </w:r>
          </w:p>
        </w:tc>
        <w:tc>
          <w:tcPr>
            <w:tcW w:w="0" w:type="auto"/>
            <w:hideMark/>
          </w:tcPr>
          <w:p w14:paraId="71B42404" w14:textId="3F141D9A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Economic policy</w:t>
            </w:r>
          </w:p>
        </w:tc>
        <w:tc>
          <w:tcPr>
            <w:tcW w:w="0" w:type="auto"/>
            <w:hideMark/>
          </w:tcPr>
          <w:p w14:paraId="26D6B453" w14:textId="50910392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Economic implications of housing, infrastructure and service inclusion</w:t>
            </w:r>
          </w:p>
        </w:tc>
        <w:tc>
          <w:tcPr>
            <w:tcW w:w="0" w:type="auto"/>
            <w:hideMark/>
          </w:tcPr>
          <w:p w14:paraId="15D0AC32" w14:textId="2B0A9DF8" w:rsidR="005A79D4" w:rsidRPr="005A79D4" w:rsidRDefault="005A79D4" w:rsidP="005A79D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What fiscal arguments could strengthen reform case?</w:t>
            </w:r>
          </w:p>
        </w:tc>
      </w:tr>
    </w:tbl>
    <w:p w14:paraId="36DD7590" w14:textId="77777777" w:rsidR="00F50D2B" w:rsidRDefault="00F50D2B">
      <w:pPr>
        <w:spacing w:after="160" w:line="278" w:lineRule="auto"/>
        <w:rPr>
          <w:i/>
          <w:iCs/>
        </w:rPr>
      </w:pPr>
      <w:r>
        <w:rPr>
          <w:i/>
          <w:iCs/>
        </w:rPr>
        <w:br w:type="page"/>
      </w:r>
    </w:p>
    <w:p w14:paraId="0228FC10" w14:textId="703FE517" w:rsidR="00CA0CA6" w:rsidRDefault="00CA0CA6" w:rsidP="00E83DE5">
      <w:pPr>
        <w:pStyle w:val="Heading2"/>
      </w:pPr>
      <w:bookmarkStart w:id="39" w:name="_Toc223944317"/>
      <w:r>
        <w:t>R</w:t>
      </w:r>
      <w:r w:rsidRPr="00CA0CA6">
        <w:t>eferences</w:t>
      </w:r>
      <w:bookmarkEnd w:id="39"/>
    </w:p>
    <w:p w14:paraId="2F508445" w14:textId="64444629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Australian Government. Department of Families, Housing, Community Services and Indigenous Affairs. (2009). </w:t>
      </w:r>
      <w:r w:rsidRPr="007D0619">
        <w:rPr>
          <w:i/>
          <w:iCs/>
        </w:rPr>
        <w:t>Shut out: The experience of people with disabilities and their families in Australia</w:t>
      </w:r>
      <w:r w:rsidRPr="007D0619">
        <w:t xml:space="preserve"> (National Disability Strategy consultation report). Commonwealth of Australia. </w:t>
      </w:r>
      <w:hyperlink r:id="rId21" w:history="1">
        <w:r w:rsidR="00F33E01" w:rsidRPr="009F1E01">
          <w:rPr>
            <w:rStyle w:val="Hyperlink"/>
          </w:rPr>
          <w:t>https://apo.org.au/node/18454/</w:t>
        </w:r>
      </w:hyperlink>
      <w:r w:rsidR="00F33E01">
        <w:t xml:space="preserve"> </w:t>
      </w:r>
    </w:p>
    <w:p w14:paraId="3EEF06A3" w14:textId="334D8E8B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Australian Government. Department of Social Services. (2021). </w:t>
      </w:r>
      <w:r w:rsidRPr="007D0619">
        <w:rPr>
          <w:i/>
          <w:iCs/>
        </w:rPr>
        <w:t>Australia’s disability strategy 2021–2031.</w:t>
      </w:r>
      <w:r w:rsidRPr="007D0619">
        <w:t xml:space="preserve"> Commonwealth of Australia. </w:t>
      </w:r>
      <w:hyperlink r:id="rId22" w:history="1">
        <w:r w:rsidR="00A95C32" w:rsidRPr="009F1E01">
          <w:rPr>
            <w:rStyle w:val="Hyperlink"/>
          </w:rPr>
          <w:t>https://www.disabilitygateway.gov.au/ads/strategy</w:t>
        </w:r>
      </w:hyperlink>
      <w:r w:rsidR="00A95C32">
        <w:t xml:space="preserve"> </w:t>
      </w:r>
    </w:p>
    <w:p w14:paraId="72DE5E33" w14:textId="4F347FE3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Australian Human Rights Commission. (n.d.). </w:t>
      </w:r>
      <w:r w:rsidRPr="007D0619">
        <w:rPr>
          <w:i/>
          <w:iCs/>
        </w:rPr>
        <w:t>Standards and guidelines on digital accessibility</w:t>
      </w:r>
      <w:r w:rsidRPr="007D0619">
        <w:t>. AHRC. The guidance summarises technical standards (including WCAG) and advises developers on meeting Disability Discrimination Act requirements. It emphasises that organisations should conform to the latest WCAG version.</w:t>
      </w:r>
      <w:r w:rsidR="00941247">
        <w:t xml:space="preserve"> </w:t>
      </w:r>
      <w:hyperlink r:id="rId23" w:history="1">
        <w:r w:rsidR="00941247" w:rsidRPr="009F1E01">
          <w:rPr>
            <w:rStyle w:val="Hyperlink"/>
          </w:rPr>
          <w:t>https://humanrights.gov.au/resource-hub/by-resource-type/guidelines-and-standards/guides-and-standards-disability-rights/chapter-3-standards-and-guidelines-digital-accessibility/</w:t>
        </w:r>
      </w:hyperlink>
      <w:r w:rsidR="00941247">
        <w:t xml:space="preserve"> </w:t>
      </w:r>
    </w:p>
    <w:p w14:paraId="57D0B333" w14:textId="31150A7F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Australian Institute for Disaster Resilience. (n.d.). </w:t>
      </w:r>
      <w:r w:rsidRPr="007D0619">
        <w:rPr>
          <w:i/>
          <w:iCs/>
        </w:rPr>
        <w:t>Disability inclusion and disasters</w:t>
      </w:r>
      <w:r w:rsidRPr="007D0619">
        <w:t xml:space="preserve"> (knowledge-hub collection). AIDR. This collection brings together research, guidance and resources to support disability</w:t>
      </w:r>
      <w:r w:rsidRPr="007D0619">
        <w:noBreakHyphen/>
        <w:t>inclusive disaster risk</w:t>
      </w:r>
      <w:r w:rsidRPr="007D0619">
        <w:noBreakHyphen/>
        <w:t>reduction in policy and practice.</w:t>
      </w:r>
      <w:r w:rsidR="006C404B">
        <w:t xml:space="preserve"> </w:t>
      </w:r>
      <w:hyperlink r:id="rId24" w:history="1">
        <w:r w:rsidR="00941247" w:rsidRPr="009F1E01">
          <w:rPr>
            <w:rStyle w:val="Hyperlink"/>
          </w:rPr>
          <w:t>https://knowledge.aidr.org.au/collections/disability-inclusion-and-disasters/</w:t>
        </w:r>
      </w:hyperlink>
      <w:r w:rsidR="00941247">
        <w:t xml:space="preserve"> </w:t>
      </w:r>
    </w:p>
    <w:p w14:paraId="7C77A249" w14:textId="17CCD603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Australian Institute of Health and Welfare (AIHW). (2024). </w:t>
      </w:r>
      <w:r w:rsidRPr="007D0619">
        <w:rPr>
          <w:i/>
          <w:iCs/>
        </w:rPr>
        <w:t>People with disability in Australia</w:t>
      </w:r>
      <w:r w:rsidRPr="007D0619">
        <w:t xml:space="preserve"> (web report). AIHW, Australian Government. doi:10.25816/5ec5be4ced179. The report is updated regularly and presents national statistics on disability.</w:t>
      </w:r>
      <w:r w:rsidR="006C404B">
        <w:t xml:space="preserve"> </w:t>
      </w:r>
      <w:hyperlink r:id="rId25" w:history="1">
        <w:r w:rsidR="006C404B" w:rsidRPr="009F1E01">
          <w:rPr>
            <w:rStyle w:val="Hyperlink"/>
          </w:rPr>
          <w:t>https://www.aihw.gov.au/reports/disability/people-with-disability-in-australia/contents/summary</w:t>
        </w:r>
      </w:hyperlink>
      <w:r w:rsidR="006C404B">
        <w:t xml:space="preserve"> </w:t>
      </w:r>
    </w:p>
    <w:p w14:paraId="1499C6E7" w14:textId="727FCC0E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Board Matters Pty Ltd. (2022). </w:t>
      </w:r>
      <w:r w:rsidRPr="007D0619">
        <w:rPr>
          <w:i/>
          <w:iCs/>
        </w:rPr>
        <w:t>A review into the Accessible Housing Project: How the governance and processes for developing effective construction and design standards can be improved</w:t>
      </w:r>
      <w:r w:rsidRPr="007D0619">
        <w:t>. Prepared for the Australian Building Codes Board.</w:t>
      </w:r>
      <w:r w:rsidR="00AC63C4">
        <w:t xml:space="preserve"> </w:t>
      </w:r>
      <w:hyperlink r:id="rId26" w:history="1">
        <w:r w:rsidR="006C404B" w:rsidRPr="009F1E01">
          <w:rPr>
            <w:rStyle w:val="Hyperlink"/>
          </w:rPr>
          <w:t>https://www.abcb.gov.au/sites/default/files/resources/2022/ABCB%20Board%20Matters%20Review%20Report.pdf</w:t>
        </w:r>
      </w:hyperlink>
      <w:r w:rsidR="006C404B">
        <w:t xml:space="preserve"> </w:t>
      </w:r>
    </w:p>
    <w:p w14:paraId="6A705379" w14:textId="368BC977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Centre for Inclusive Design, Adobe &amp; Microsoft. (2019). </w:t>
      </w:r>
      <w:r w:rsidRPr="007D0619">
        <w:rPr>
          <w:i/>
          <w:iCs/>
        </w:rPr>
        <w:t>The benefit of designing for everyone</w:t>
      </w:r>
      <w:r w:rsidRPr="007D0619">
        <w:t xml:space="preserve"> (research report). PwC Australia. </w:t>
      </w:r>
      <w:hyperlink r:id="rId27" w:history="1">
        <w:r w:rsidR="00AC63C4" w:rsidRPr="009F1E01">
          <w:rPr>
            <w:rStyle w:val="Hyperlink"/>
          </w:rPr>
          <w:t>https://centreforinclusivedesign.org.au/wp-content/uploads/2021/05/inclusive-design-report-digital-160519.pdf</w:t>
        </w:r>
      </w:hyperlink>
      <w:r w:rsidR="00AC63C4">
        <w:t xml:space="preserve"> </w:t>
      </w:r>
    </w:p>
    <w:p w14:paraId="723F34B4" w14:textId="170B22AB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Children and Young People with Disability Australia (CYDA). (2018). </w:t>
      </w:r>
      <w:r w:rsidRPr="007D0619">
        <w:rPr>
          <w:i/>
          <w:iCs/>
        </w:rPr>
        <w:t>Supported school transport and transition to the National Disability Insurance Scheme: Submission</w:t>
      </w:r>
      <w:r w:rsidRPr="007D0619">
        <w:t>. CYDA. The submission outlines concerns with existing school-transport systems and recommends reforms.</w:t>
      </w:r>
      <w:r w:rsidR="001F5F41">
        <w:t xml:space="preserve"> </w:t>
      </w:r>
      <w:hyperlink r:id="rId28" w:history="1">
        <w:r w:rsidR="001F5F41" w:rsidRPr="009F1E01">
          <w:rPr>
            <w:rStyle w:val="Hyperlink"/>
          </w:rPr>
          <w:t>https://cyda.org.au/wp-content/uploads/2023/08/supported_school_transport_ndis-1.pdf</w:t>
        </w:r>
      </w:hyperlink>
      <w:r w:rsidR="001F5F41">
        <w:t xml:space="preserve"> </w:t>
      </w:r>
    </w:p>
    <w:p w14:paraId="7DD5BEDE" w14:textId="6C56A3A3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Livable Housing Australia. (2017). </w:t>
      </w:r>
      <w:r w:rsidRPr="007D0619">
        <w:rPr>
          <w:i/>
          <w:iCs/>
        </w:rPr>
        <w:t>Livable housing design guidelines</w:t>
      </w:r>
      <w:r w:rsidRPr="007D0619">
        <w:t xml:space="preserve"> (4th ed.). Livable Housing Australia. </w:t>
      </w:r>
      <w:hyperlink r:id="rId29" w:history="1">
        <w:r w:rsidR="00626861" w:rsidRPr="009F1E01">
          <w:rPr>
            <w:rStyle w:val="Hyperlink"/>
          </w:rPr>
          <w:t>https://universaldesignaustralia.net.au/wp-content/uploads/2017/08/lhaguidlineseditionno4-2017.pdf</w:t>
        </w:r>
      </w:hyperlink>
      <w:r w:rsidR="00626861">
        <w:t xml:space="preserve"> </w:t>
      </w:r>
    </w:p>
    <w:p w14:paraId="36FE09FE" w14:textId="082C85FD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Productivity Commission. (2011). </w:t>
      </w:r>
      <w:r w:rsidRPr="007D0619">
        <w:rPr>
          <w:i/>
          <w:iCs/>
        </w:rPr>
        <w:t>Disability care and support</w:t>
      </w:r>
      <w:r w:rsidRPr="007D0619">
        <w:t xml:space="preserve"> (Inquiry report No. 54). Australian Government Productivity Commission. Released 10 August 2011, this report evaluates options for long</w:t>
      </w:r>
      <w:r w:rsidRPr="007D0619">
        <w:noBreakHyphen/>
        <w:t>term disability care and support.</w:t>
      </w:r>
      <w:r w:rsidR="00B061E9">
        <w:t xml:space="preserve"> </w:t>
      </w:r>
      <w:hyperlink r:id="rId30" w:history="1">
        <w:r w:rsidR="00B061E9" w:rsidRPr="009F1E01">
          <w:rPr>
            <w:rStyle w:val="Hyperlink"/>
          </w:rPr>
          <w:t>https://www.pc.gov.au/inquiries-and-research/disability-support/report/</w:t>
        </w:r>
      </w:hyperlink>
      <w:r w:rsidR="00B061E9">
        <w:t xml:space="preserve"> </w:t>
      </w:r>
    </w:p>
    <w:p w14:paraId="4AD22632" w14:textId="2BBCA503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Regional Australia Institute. (2019). </w:t>
      </w:r>
      <w:r w:rsidRPr="007D0619">
        <w:rPr>
          <w:i/>
          <w:iCs/>
        </w:rPr>
        <w:t>Building the NDIS in regional Australia: A review of key policy approaches</w:t>
      </w:r>
      <w:r w:rsidRPr="007D0619">
        <w:t xml:space="preserve">. Regional Australia Institute. </w:t>
      </w:r>
      <w:hyperlink r:id="rId31" w:history="1">
        <w:r w:rsidR="00B061E9" w:rsidRPr="009F1E01">
          <w:rPr>
            <w:rStyle w:val="Hyperlink"/>
          </w:rPr>
          <w:t>https://apo.org.au/node/267616</w:t>
        </w:r>
      </w:hyperlink>
      <w:r w:rsidR="00B061E9">
        <w:t xml:space="preserve"> </w:t>
      </w:r>
    </w:p>
    <w:p w14:paraId="7B102C98" w14:textId="5A9797A9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Royal Commission into Violence, Abuse, Neglect and Exploitation of People with Disability. (2023). </w:t>
      </w:r>
      <w:r w:rsidRPr="007D0619">
        <w:rPr>
          <w:i/>
          <w:iCs/>
        </w:rPr>
        <w:t>Final report</w:t>
      </w:r>
      <w:r w:rsidRPr="007D0619">
        <w:t xml:space="preserve"> (Vols. 1–8). Royal Commission. The final report was published on 29 September 2023.</w:t>
      </w:r>
      <w:r w:rsidR="00467EE1">
        <w:t xml:space="preserve"> </w:t>
      </w:r>
      <w:hyperlink r:id="rId32" w:history="1">
        <w:r w:rsidR="00467EE1" w:rsidRPr="009F1E01">
          <w:rPr>
            <w:rStyle w:val="Hyperlink"/>
          </w:rPr>
          <w:t>https://apo.org.au/node/324486</w:t>
        </w:r>
      </w:hyperlink>
      <w:r w:rsidR="00467EE1">
        <w:t xml:space="preserve"> </w:t>
      </w:r>
    </w:p>
    <w:p w14:paraId="368BBAA8" w14:textId="5ADA9073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United Nations. (2006). </w:t>
      </w:r>
      <w:r w:rsidRPr="007D0619">
        <w:rPr>
          <w:i/>
          <w:iCs/>
        </w:rPr>
        <w:t>Convention on the Rights of Persons with Disabilities</w:t>
      </w:r>
      <w:r w:rsidRPr="007D0619">
        <w:t>. UN General Assembly. The convention was adopted on 13 December 2006; Article 4(3) requires States Parties to consult with people with disabilities when developing and implementing laws and policies.</w:t>
      </w:r>
      <w:r w:rsidR="0025431C">
        <w:t xml:space="preserve"> </w:t>
      </w:r>
      <w:hyperlink r:id="rId33" w:history="1">
        <w:r w:rsidR="00EB20CA" w:rsidRPr="009F1E01">
          <w:rPr>
            <w:rStyle w:val="Hyperlink"/>
          </w:rPr>
          <w:t>https://www.ohchr.org/en/instruments-mechanisms/instruments/convention-rights-persons-disabilities</w:t>
        </w:r>
      </w:hyperlink>
      <w:r w:rsidR="00EB20CA">
        <w:t xml:space="preserve"> </w:t>
      </w:r>
    </w:p>
    <w:p w14:paraId="29848730" w14:textId="6A2F7072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World Wide Web Consortium (W3C). (2025). </w:t>
      </w:r>
      <w:r w:rsidRPr="007D0619">
        <w:rPr>
          <w:i/>
          <w:iCs/>
        </w:rPr>
        <w:t>Web content accessibility guidelines (WCAG) 2.1</w:t>
      </w:r>
      <w:r w:rsidRPr="007D0619">
        <w:t xml:space="preserve"> (W3C Recommendation 06 May 2025). W3C. </w:t>
      </w:r>
      <w:hyperlink r:id="rId34" w:history="1">
        <w:r w:rsidR="0025431C" w:rsidRPr="009F1E01">
          <w:rPr>
            <w:rStyle w:val="Hyperlink"/>
          </w:rPr>
          <w:t>https://www.w3.org/TR/WCAG21/</w:t>
        </w:r>
      </w:hyperlink>
      <w:r w:rsidR="0025431C">
        <w:t xml:space="preserve"> </w:t>
      </w:r>
    </w:p>
    <w:p w14:paraId="5C431334" w14:textId="0402187A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W3C. (2023). </w:t>
      </w:r>
      <w:r w:rsidRPr="007D0619">
        <w:rPr>
          <w:i/>
          <w:iCs/>
        </w:rPr>
        <w:t>Web content accessibility guidelines (WCAG) 2.2</w:t>
      </w:r>
      <w:r w:rsidRPr="007D0619">
        <w:t xml:space="preserve"> (W3C Recommendation, October 2023). W3C. </w:t>
      </w:r>
      <w:hyperlink r:id="rId35" w:history="1">
        <w:r w:rsidR="00680AE9" w:rsidRPr="009F1E01">
          <w:rPr>
            <w:rStyle w:val="Hyperlink"/>
          </w:rPr>
          <w:t>https://humanrights.gov.au/resource-hub/by-resource-type/guidelines-and-standards/guides-and-standards-disability-rights/chapter-3-standards-and-guidelines-digital-accessibility</w:t>
        </w:r>
      </w:hyperlink>
      <w:r w:rsidR="00680AE9">
        <w:t xml:space="preserve"> </w:t>
      </w:r>
    </w:p>
    <w:p w14:paraId="144498C5" w14:textId="6A7DB40F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Australian Government Digital Service Standard. (2017). </w:t>
      </w:r>
      <w:r w:rsidRPr="007D0619">
        <w:rPr>
          <w:i/>
          <w:iCs/>
        </w:rPr>
        <w:t>Digital service standard</w:t>
      </w:r>
      <w:r w:rsidRPr="007D0619">
        <w:t xml:space="preserve">. Australian Government. </w:t>
      </w:r>
      <w:hyperlink r:id="rId36" w:history="1">
        <w:r w:rsidR="00193B22" w:rsidRPr="009F1E01">
          <w:rPr>
            <w:rStyle w:val="Hyperlink"/>
          </w:rPr>
          <w:t>https://oecd-opsi.org/toolkits/australia-digital-service-standard/</w:t>
        </w:r>
      </w:hyperlink>
      <w:r w:rsidR="00193B22">
        <w:t xml:space="preserve"> </w:t>
      </w:r>
    </w:p>
    <w:p w14:paraId="26A5801B" w14:textId="6F94F7BE" w:rsidR="007D0619" w:rsidRPr="007D0619" w:rsidRDefault="007D0619" w:rsidP="008D0E9E">
      <w:pPr>
        <w:numPr>
          <w:ilvl w:val="0"/>
          <w:numId w:val="12"/>
        </w:numPr>
        <w:spacing w:after="160" w:line="278" w:lineRule="auto"/>
      </w:pPr>
      <w:r w:rsidRPr="007D0619">
        <w:t xml:space="preserve">Disability Standards for Accessible Public Transport. (2002). </w:t>
      </w:r>
      <w:r w:rsidRPr="007D0619">
        <w:rPr>
          <w:i/>
          <w:iCs/>
        </w:rPr>
        <w:t>Disability standards for accessible public transport 2002</w:t>
      </w:r>
      <w:r w:rsidRPr="007D0619">
        <w:t>. Australian Government.</w:t>
      </w:r>
      <w:r w:rsidR="00CB3BCB">
        <w:t xml:space="preserve"> </w:t>
      </w:r>
      <w:hyperlink r:id="rId37" w:history="1">
        <w:r w:rsidR="00CB3BCB" w:rsidRPr="009F1E01">
          <w:rPr>
            <w:rStyle w:val="Hyperlink"/>
          </w:rPr>
          <w:t>https://oia.pmc.gov.au/published-impact-analyses-and-reports/disability-standards-accessible-public-transport-2002-0</w:t>
        </w:r>
      </w:hyperlink>
      <w:r w:rsidR="00CB3BCB">
        <w:t xml:space="preserve"> </w:t>
      </w:r>
    </w:p>
    <w:sectPr w:rsidR="007D0619" w:rsidRPr="007D0619" w:rsidSect="00E44E35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903" w:right="1133" w:bottom="1440" w:left="1276" w:header="0" w:footer="2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2F8B" w14:textId="77777777" w:rsidR="004C1211" w:rsidRDefault="004C1211" w:rsidP="0005083D">
      <w:r>
        <w:separator/>
      </w:r>
    </w:p>
  </w:endnote>
  <w:endnote w:type="continuationSeparator" w:id="0">
    <w:p w14:paraId="538CE89E" w14:textId="77777777" w:rsidR="004C1211" w:rsidRDefault="004C1211" w:rsidP="0005083D">
      <w:r>
        <w:continuationSeparator/>
      </w:r>
    </w:p>
  </w:endnote>
  <w:endnote w:type="continuationNotice" w:id="1">
    <w:p w14:paraId="1EC4AC83" w14:textId="77777777" w:rsidR="004C1211" w:rsidRDefault="004C1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022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C8BF1" w14:textId="3F8F006D" w:rsidR="00E44E35" w:rsidRDefault="00E44E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031FF6" w14:textId="77777777" w:rsidR="00307137" w:rsidRPr="00997BCB" w:rsidRDefault="00307137" w:rsidP="0005083D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C7ED" w14:textId="194F01C1" w:rsidR="00307137" w:rsidRPr="00997BCB" w:rsidRDefault="00E44E35" w:rsidP="0005083D">
    <w:pPr>
      <w:pStyle w:val="Footer"/>
      <w:rPr>
        <w:lang w:val="fr-FR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37EEB50" wp14:editId="0702FB05">
          <wp:simplePos x="0" y="0"/>
          <wp:positionH relativeFrom="page">
            <wp:align>left</wp:align>
          </wp:positionH>
          <wp:positionV relativeFrom="paragraph">
            <wp:posOffset>257868</wp:posOffset>
          </wp:positionV>
          <wp:extent cx="8351520" cy="798195"/>
          <wp:effectExtent l="0" t="0" r="0" b="1905"/>
          <wp:wrapNone/>
          <wp:docPr id="955200333" name="Picture 9552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152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307137" w:rsidRPr="00997BCB">
      <w:rPr>
        <w:lang w:val="fr-FR"/>
      </w:rPr>
      <w:t>Email:</w:t>
    </w:r>
    <w:proofErr w:type="gramEnd"/>
    <w:r w:rsidR="00307137" w:rsidRPr="00997BCB">
      <w:rPr>
        <w:lang w:val="fr-FR"/>
      </w:rPr>
      <w:t xml:space="preserve"> info@ndrp.org.au</w:t>
    </w:r>
    <w:r w:rsidR="00307137" w:rsidRPr="00997BCB">
      <w:rPr>
        <w:lang w:val="fr-FR"/>
      </w:rPr>
      <w:tab/>
    </w:r>
    <w:proofErr w:type="gramStart"/>
    <w:r w:rsidR="00307137" w:rsidRPr="00997BCB">
      <w:rPr>
        <w:lang w:val="fr-FR"/>
      </w:rPr>
      <w:t>Phone:</w:t>
    </w:r>
    <w:proofErr w:type="gramEnd"/>
    <w:r w:rsidR="00307137" w:rsidRPr="00997BCB">
      <w:rPr>
        <w:lang w:val="fr-FR"/>
      </w:rPr>
      <w:t xml:space="preserve"> 03 9000 3813</w:t>
    </w:r>
    <w:r w:rsidR="00307137" w:rsidRPr="00997BCB">
      <w:rPr>
        <w:lang w:val="fr-FR"/>
      </w:rPr>
      <w:tab/>
    </w:r>
    <w:hyperlink r:id="rId2" w:history="1">
      <w:r w:rsidR="00307137" w:rsidRPr="00997BCB">
        <w:rPr>
          <w:rStyle w:val="Hyperlink"/>
          <w:lang w:val="fr-FR"/>
        </w:rPr>
        <w:t>www.ndrp.org.au</w:t>
      </w:r>
    </w:hyperlink>
  </w:p>
  <w:p w14:paraId="5B729D19" w14:textId="26F82924" w:rsidR="00307137" w:rsidRPr="00997BCB" w:rsidRDefault="00307137" w:rsidP="0005083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BACF" w14:textId="77777777" w:rsidR="004C1211" w:rsidRDefault="004C1211" w:rsidP="0005083D">
      <w:r>
        <w:separator/>
      </w:r>
    </w:p>
  </w:footnote>
  <w:footnote w:type="continuationSeparator" w:id="0">
    <w:p w14:paraId="3B1CD69A" w14:textId="77777777" w:rsidR="004C1211" w:rsidRDefault="004C1211" w:rsidP="0005083D">
      <w:r>
        <w:continuationSeparator/>
      </w:r>
    </w:p>
  </w:footnote>
  <w:footnote w:type="continuationNotice" w:id="1">
    <w:p w14:paraId="2A166F0C" w14:textId="77777777" w:rsidR="004C1211" w:rsidRDefault="004C12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673E" w14:textId="77777777" w:rsidR="00B817B7" w:rsidRDefault="00B817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DB6B92" wp14:editId="16BAACB0">
          <wp:simplePos x="0" y="0"/>
          <wp:positionH relativeFrom="margin">
            <wp:posOffset>-768985</wp:posOffset>
          </wp:positionH>
          <wp:positionV relativeFrom="page">
            <wp:posOffset>16774</wp:posOffset>
          </wp:positionV>
          <wp:extent cx="7567936" cy="1256306"/>
          <wp:effectExtent l="0" t="0" r="0" b="1270"/>
          <wp:wrapSquare wrapText="bothSides"/>
          <wp:docPr id="1776498107" name="Picture 1776498107" descr="A close-up of a blue and white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08774" name="Picture 2065108774" descr="A close-up of a blue and white objec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6" cy="125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3CC2" w14:textId="77777777" w:rsidR="00307137" w:rsidRDefault="0005083D" w:rsidP="0005083D">
    <w:r>
      <w:rPr>
        <w:noProof/>
      </w:rPr>
      <w:drawing>
        <wp:anchor distT="0" distB="0" distL="114300" distR="114300" simplePos="0" relativeHeight="251658241" behindDoc="0" locked="0" layoutInCell="1" allowOverlap="1" wp14:anchorId="254F3FD3" wp14:editId="6C5045F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7936" cy="1256306"/>
          <wp:effectExtent l="0" t="0" r="0" b="1270"/>
          <wp:wrapSquare wrapText="bothSides"/>
          <wp:docPr id="538591053" name="Picture 538591053" descr="A close-up of a blue and white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08774" name="Picture 2065108774" descr="A close-up of a blue and white objec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6" cy="125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284"/>
    <w:multiLevelType w:val="multilevel"/>
    <w:tmpl w:val="FAF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4D2C"/>
    <w:multiLevelType w:val="multilevel"/>
    <w:tmpl w:val="9F38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C5FEE"/>
    <w:multiLevelType w:val="multilevel"/>
    <w:tmpl w:val="FBCE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40CC8"/>
    <w:multiLevelType w:val="hybridMultilevel"/>
    <w:tmpl w:val="26B2C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3D85"/>
    <w:multiLevelType w:val="multilevel"/>
    <w:tmpl w:val="B7CC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97364"/>
    <w:multiLevelType w:val="multilevel"/>
    <w:tmpl w:val="1AC8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5465B"/>
    <w:multiLevelType w:val="multilevel"/>
    <w:tmpl w:val="96D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806ED"/>
    <w:multiLevelType w:val="multilevel"/>
    <w:tmpl w:val="C2B8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90D34"/>
    <w:multiLevelType w:val="multilevel"/>
    <w:tmpl w:val="820E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E1856"/>
    <w:multiLevelType w:val="multilevel"/>
    <w:tmpl w:val="8160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96C89"/>
    <w:multiLevelType w:val="multilevel"/>
    <w:tmpl w:val="3444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A5587"/>
    <w:multiLevelType w:val="multilevel"/>
    <w:tmpl w:val="D23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874219">
    <w:abstractNumId w:val="3"/>
  </w:num>
  <w:num w:numId="2" w16cid:durableId="2012877354">
    <w:abstractNumId w:val="8"/>
  </w:num>
  <w:num w:numId="3" w16cid:durableId="1344631194">
    <w:abstractNumId w:val="1"/>
  </w:num>
  <w:num w:numId="4" w16cid:durableId="120929120">
    <w:abstractNumId w:val="11"/>
  </w:num>
  <w:num w:numId="5" w16cid:durableId="281574214">
    <w:abstractNumId w:val="2"/>
  </w:num>
  <w:num w:numId="6" w16cid:durableId="2126464745">
    <w:abstractNumId w:val="4"/>
  </w:num>
  <w:num w:numId="7" w16cid:durableId="1239485491">
    <w:abstractNumId w:val="7"/>
  </w:num>
  <w:num w:numId="8" w16cid:durableId="218832606">
    <w:abstractNumId w:val="6"/>
  </w:num>
  <w:num w:numId="9" w16cid:durableId="878929157">
    <w:abstractNumId w:val="9"/>
  </w:num>
  <w:num w:numId="10" w16cid:durableId="1760636096">
    <w:abstractNumId w:val="5"/>
  </w:num>
  <w:num w:numId="11" w16cid:durableId="392117840">
    <w:abstractNumId w:val="10"/>
  </w:num>
  <w:num w:numId="12" w16cid:durableId="149141037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35"/>
    <w:rsid w:val="00003D70"/>
    <w:rsid w:val="0001663D"/>
    <w:rsid w:val="00030062"/>
    <w:rsid w:val="00033C81"/>
    <w:rsid w:val="000420D4"/>
    <w:rsid w:val="0005083D"/>
    <w:rsid w:val="000511FA"/>
    <w:rsid w:val="00076629"/>
    <w:rsid w:val="00082D18"/>
    <w:rsid w:val="00086883"/>
    <w:rsid w:val="00087977"/>
    <w:rsid w:val="000A0361"/>
    <w:rsid w:val="000A156C"/>
    <w:rsid w:val="000D1E05"/>
    <w:rsid w:val="000D2019"/>
    <w:rsid w:val="000D79B8"/>
    <w:rsid w:val="000F7733"/>
    <w:rsid w:val="00101546"/>
    <w:rsid w:val="00104C2B"/>
    <w:rsid w:val="001413D2"/>
    <w:rsid w:val="00145B5A"/>
    <w:rsid w:val="0015467D"/>
    <w:rsid w:val="00164354"/>
    <w:rsid w:val="00166209"/>
    <w:rsid w:val="00166C7B"/>
    <w:rsid w:val="0017652D"/>
    <w:rsid w:val="00184C46"/>
    <w:rsid w:val="00191F4A"/>
    <w:rsid w:val="00192C93"/>
    <w:rsid w:val="00192E73"/>
    <w:rsid w:val="00193B22"/>
    <w:rsid w:val="00195D2E"/>
    <w:rsid w:val="001A1821"/>
    <w:rsid w:val="001A23D8"/>
    <w:rsid w:val="001B37F7"/>
    <w:rsid w:val="001B6A80"/>
    <w:rsid w:val="001C4BB0"/>
    <w:rsid w:val="001D1076"/>
    <w:rsid w:val="001D391E"/>
    <w:rsid w:val="001E76F5"/>
    <w:rsid w:val="001F0A07"/>
    <w:rsid w:val="001F4152"/>
    <w:rsid w:val="001F5F41"/>
    <w:rsid w:val="001F715E"/>
    <w:rsid w:val="00201DC1"/>
    <w:rsid w:val="00215654"/>
    <w:rsid w:val="00240646"/>
    <w:rsid w:val="00253C59"/>
    <w:rsid w:val="0025431C"/>
    <w:rsid w:val="0025760E"/>
    <w:rsid w:val="0026567A"/>
    <w:rsid w:val="00272C68"/>
    <w:rsid w:val="00287C2F"/>
    <w:rsid w:val="00292CB3"/>
    <w:rsid w:val="00293D03"/>
    <w:rsid w:val="00294D10"/>
    <w:rsid w:val="002B26CF"/>
    <w:rsid w:val="002B79D6"/>
    <w:rsid w:val="002C3CAC"/>
    <w:rsid w:val="002F2514"/>
    <w:rsid w:val="00304131"/>
    <w:rsid w:val="00307137"/>
    <w:rsid w:val="00315860"/>
    <w:rsid w:val="003232C5"/>
    <w:rsid w:val="00331A95"/>
    <w:rsid w:val="00350A33"/>
    <w:rsid w:val="00362B53"/>
    <w:rsid w:val="00374046"/>
    <w:rsid w:val="00374F7C"/>
    <w:rsid w:val="00377C4B"/>
    <w:rsid w:val="00383607"/>
    <w:rsid w:val="00391049"/>
    <w:rsid w:val="00396136"/>
    <w:rsid w:val="0039778A"/>
    <w:rsid w:val="003A1C25"/>
    <w:rsid w:val="003A7EF0"/>
    <w:rsid w:val="003B5D62"/>
    <w:rsid w:val="003C6707"/>
    <w:rsid w:val="003E13D3"/>
    <w:rsid w:val="003E4C43"/>
    <w:rsid w:val="003F566A"/>
    <w:rsid w:val="00404AFB"/>
    <w:rsid w:val="00407360"/>
    <w:rsid w:val="0041287C"/>
    <w:rsid w:val="004176F4"/>
    <w:rsid w:val="004266D1"/>
    <w:rsid w:val="00432EE0"/>
    <w:rsid w:val="004331D4"/>
    <w:rsid w:val="00445031"/>
    <w:rsid w:val="00460E0B"/>
    <w:rsid w:val="00467EE1"/>
    <w:rsid w:val="00490777"/>
    <w:rsid w:val="0049416C"/>
    <w:rsid w:val="004A0087"/>
    <w:rsid w:val="004A2022"/>
    <w:rsid w:val="004B6931"/>
    <w:rsid w:val="004B7EEB"/>
    <w:rsid w:val="004C1211"/>
    <w:rsid w:val="004D02A1"/>
    <w:rsid w:val="004D782E"/>
    <w:rsid w:val="004E25A8"/>
    <w:rsid w:val="00507731"/>
    <w:rsid w:val="00515CFE"/>
    <w:rsid w:val="005363FC"/>
    <w:rsid w:val="00542114"/>
    <w:rsid w:val="005423C8"/>
    <w:rsid w:val="00543267"/>
    <w:rsid w:val="00543BCC"/>
    <w:rsid w:val="0056082F"/>
    <w:rsid w:val="00562CBE"/>
    <w:rsid w:val="00567437"/>
    <w:rsid w:val="00567AA9"/>
    <w:rsid w:val="00581258"/>
    <w:rsid w:val="00583B09"/>
    <w:rsid w:val="00583BF5"/>
    <w:rsid w:val="00587595"/>
    <w:rsid w:val="00590257"/>
    <w:rsid w:val="005A654F"/>
    <w:rsid w:val="005A703A"/>
    <w:rsid w:val="005A73FB"/>
    <w:rsid w:val="005A79D4"/>
    <w:rsid w:val="005B355B"/>
    <w:rsid w:val="005C0421"/>
    <w:rsid w:val="005C48E1"/>
    <w:rsid w:val="005C7973"/>
    <w:rsid w:val="005D29FB"/>
    <w:rsid w:val="005F66F6"/>
    <w:rsid w:val="00600319"/>
    <w:rsid w:val="00600A6B"/>
    <w:rsid w:val="00601DE8"/>
    <w:rsid w:val="00606AC5"/>
    <w:rsid w:val="00615077"/>
    <w:rsid w:val="00620748"/>
    <w:rsid w:val="0062258B"/>
    <w:rsid w:val="00626861"/>
    <w:rsid w:val="00630BCC"/>
    <w:rsid w:val="00650CC8"/>
    <w:rsid w:val="00651004"/>
    <w:rsid w:val="00653339"/>
    <w:rsid w:val="006566AB"/>
    <w:rsid w:val="00665769"/>
    <w:rsid w:val="00680AE9"/>
    <w:rsid w:val="00682331"/>
    <w:rsid w:val="00691734"/>
    <w:rsid w:val="006935C8"/>
    <w:rsid w:val="006A2FA2"/>
    <w:rsid w:val="006A3098"/>
    <w:rsid w:val="006A4CEF"/>
    <w:rsid w:val="006A7BDC"/>
    <w:rsid w:val="006B5B90"/>
    <w:rsid w:val="006C39ED"/>
    <w:rsid w:val="006C3DDF"/>
    <w:rsid w:val="006C404B"/>
    <w:rsid w:val="006E5688"/>
    <w:rsid w:val="006F5BBD"/>
    <w:rsid w:val="00705456"/>
    <w:rsid w:val="007055B9"/>
    <w:rsid w:val="007075F4"/>
    <w:rsid w:val="00710F86"/>
    <w:rsid w:val="00730C40"/>
    <w:rsid w:val="00736636"/>
    <w:rsid w:val="00744D06"/>
    <w:rsid w:val="00760FA6"/>
    <w:rsid w:val="00765401"/>
    <w:rsid w:val="00772037"/>
    <w:rsid w:val="007B3204"/>
    <w:rsid w:val="007B687E"/>
    <w:rsid w:val="007C2F4D"/>
    <w:rsid w:val="007D0619"/>
    <w:rsid w:val="007D2F1D"/>
    <w:rsid w:val="007D42EE"/>
    <w:rsid w:val="007E2D51"/>
    <w:rsid w:val="007E2FBA"/>
    <w:rsid w:val="007E3ACF"/>
    <w:rsid w:val="007F0D3D"/>
    <w:rsid w:val="00812907"/>
    <w:rsid w:val="0081684D"/>
    <w:rsid w:val="0081707F"/>
    <w:rsid w:val="00842493"/>
    <w:rsid w:val="00872CFC"/>
    <w:rsid w:val="0087420E"/>
    <w:rsid w:val="00882D67"/>
    <w:rsid w:val="00883B5E"/>
    <w:rsid w:val="008900F9"/>
    <w:rsid w:val="00892CFB"/>
    <w:rsid w:val="008979BA"/>
    <w:rsid w:val="008A47AB"/>
    <w:rsid w:val="008B4EB1"/>
    <w:rsid w:val="008B5E6C"/>
    <w:rsid w:val="008D0D56"/>
    <w:rsid w:val="008D0E9E"/>
    <w:rsid w:val="008D14D6"/>
    <w:rsid w:val="008D18A9"/>
    <w:rsid w:val="008D1E69"/>
    <w:rsid w:val="008D21DB"/>
    <w:rsid w:val="008D2C63"/>
    <w:rsid w:val="008E3A61"/>
    <w:rsid w:val="00910F43"/>
    <w:rsid w:val="00913C8E"/>
    <w:rsid w:val="00926AED"/>
    <w:rsid w:val="00927D7D"/>
    <w:rsid w:val="00932D46"/>
    <w:rsid w:val="00933BBE"/>
    <w:rsid w:val="00934DB7"/>
    <w:rsid w:val="0093518F"/>
    <w:rsid w:val="00935925"/>
    <w:rsid w:val="00941247"/>
    <w:rsid w:val="00943976"/>
    <w:rsid w:val="009630EE"/>
    <w:rsid w:val="00964F58"/>
    <w:rsid w:val="0097047B"/>
    <w:rsid w:val="009777CD"/>
    <w:rsid w:val="0098464B"/>
    <w:rsid w:val="0099610F"/>
    <w:rsid w:val="00997696"/>
    <w:rsid w:val="00997BCB"/>
    <w:rsid w:val="009A4408"/>
    <w:rsid w:val="009B0B02"/>
    <w:rsid w:val="009B74A8"/>
    <w:rsid w:val="009C3C30"/>
    <w:rsid w:val="009C5D98"/>
    <w:rsid w:val="009D09ED"/>
    <w:rsid w:val="009D4851"/>
    <w:rsid w:val="009F7D38"/>
    <w:rsid w:val="00A00ED2"/>
    <w:rsid w:val="00A106C2"/>
    <w:rsid w:val="00A13149"/>
    <w:rsid w:val="00A22CE1"/>
    <w:rsid w:val="00A32646"/>
    <w:rsid w:val="00A53575"/>
    <w:rsid w:val="00A60937"/>
    <w:rsid w:val="00A837B8"/>
    <w:rsid w:val="00A83F83"/>
    <w:rsid w:val="00A94DEC"/>
    <w:rsid w:val="00A95C32"/>
    <w:rsid w:val="00A96D36"/>
    <w:rsid w:val="00AA7A29"/>
    <w:rsid w:val="00AB15F7"/>
    <w:rsid w:val="00AC0823"/>
    <w:rsid w:val="00AC2EAE"/>
    <w:rsid w:val="00AC63C4"/>
    <w:rsid w:val="00AD601D"/>
    <w:rsid w:val="00AE2804"/>
    <w:rsid w:val="00AE460A"/>
    <w:rsid w:val="00AF2407"/>
    <w:rsid w:val="00B061E9"/>
    <w:rsid w:val="00B110DA"/>
    <w:rsid w:val="00B13BF9"/>
    <w:rsid w:val="00B15575"/>
    <w:rsid w:val="00B21861"/>
    <w:rsid w:val="00B2223D"/>
    <w:rsid w:val="00B24C1D"/>
    <w:rsid w:val="00B57A0D"/>
    <w:rsid w:val="00B67DE3"/>
    <w:rsid w:val="00B72BC0"/>
    <w:rsid w:val="00B817B7"/>
    <w:rsid w:val="00B82601"/>
    <w:rsid w:val="00B90AF0"/>
    <w:rsid w:val="00B973B8"/>
    <w:rsid w:val="00BA0C2F"/>
    <w:rsid w:val="00BB5F3B"/>
    <w:rsid w:val="00BC3C6E"/>
    <w:rsid w:val="00BC52A6"/>
    <w:rsid w:val="00BD6AA8"/>
    <w:rsid w:val="00C14F4E"/>
    <w:rsid w:val="00C219B0"/>
    <w:rsid w:val="00C25BE8"/>
    <w:rsid w:val="00C4518C"/>
    <w:rsid w:val="00C57BEF"/>
    <w:rsid w:val="00C73D64"/>
    <w:rsid w:val="00C81778"/>
    <w:rsid w:val="00C92EBE"/>
    <w:rsid w:val="00C943C1"/>
    <w:rsid w:val="00CA0CA6"/>
    <w:rsid w:val="00CA177E"/>
    <w:rsid w:val="00CA4A3F"/>
    <w:rsid w:val="00CB3BCB"/>
    <w:rsid w:val="00CB7EB5"/>
    <w:rsid w:val="00CC0D9A"/>
    <w:rsid w:val="00CE29A1"/>
    <w:rsid w:val="00CE4460"/>
    <w:rsid w:val="00CF42B2"/>
    <w:rsid w:val="00CF4701"/>
    <w:rsid w:val="00D0143E"/>
    <w:rsid w:val="00D017DA"/>
    <w:rsid w:val="00D1389D"/>
    <w:rsid w:val="00D248CD"/>
    <w:rsid w:val="00D25A73"/>
    <w:rsid w:val="00D27467"/>
    <w:rsid w:val="00D34F17"/>
    <w:rsid w:val="00D47AC9"/>
    <w:rsid w:val="00D5079C"/>
    <w:rsid w:val="00D5248F"/>
    <w:rsid w:val="00D54F00"/>
    <w:rsid w:val="00D578C5"/>
    <w:rsid w:val="00D6357B"/>
    <w:rsid w:val="00D70FC9"/>
    <w:rsid w:val="00D83203"/>
    <w:rsid w:val="00D860F8"/>
    <w:rsid w:val="00D878D3"/>
    <w:rsid w:val="00D9601B"/>
    <w:rsid w:val="00DA6F6C"/>
    <w:rsid w:val="00DA7363"/>
    <w:rsid w:val="00DB4BA5"/>
    <w:rsid w:val="00DC7DA8"/>
    <w:rsid w:val="00DD4761"/>
    <w:rsid w:val="00DE6A7B"/>
    <w:rsid w:val="00DE7FD0"/>
    <w:rsid w:val="00DF43B8"/>
    <w:rsid w:val="00DF50B7"/>
    <w:rsid w:val="00E03457"/>
    <w:rsid w:val="00E076E2"/>
    <w:rsid w:val="00E13174"/>
    <w:rsid w:val="00E132DD"/>
    <w:rsid w:val="00E17C28"/>
    <w:rsid w:val="00E20BC7"/>
    <w:rsid w:val="00E21AA6"/>
    <w:rsid w:val="00E30D6A"/>
    <w:rsid w:val="00E40252"/>
    <w:rsid w:val="00E4250E"/>
    <w:rsid w:val="00E44E35"/>
    <w:rsid w:val="00E520BB"/>
    <w:rsid w:val="00E656D5"/>
    <w:rsid w:val="00E8320F"/>
    <w:rsid w:val="00E83303"/>
    <w:rsid w:val="00E83DE5"/>
    <w:rsid w:val="00E95A47"/>
    <w:rsid w:val="00EA1DCC"/>
    <w:rsid w:val="00EB20CA"/>
    <w:rsid w:val="00EB3B0B"/>
    <w:rsid w:val="00EB577C"/>
    <w:rsid w:val="00EB72C0"/>
    <w:rsid w:val="00EB7F5F"/>
    <w:rsid w:val="00EC3E17"/>
    <w:rsid w:val="00EC554B"/>
    <w:rsid w:val="00ED2B4B"/>
    <w:rsid w:val="00ED6C86"/>
    <w:rsid w:val="00ED6F14"/>
    <w:rsid w:val="00F1067C"/>
    <w:rsid w:val="00F16803"/>
    <w:rsid w:val="00F25439"/>
    <w:rsid w:val="00F3228B"/>
    <w:rsid w:val="00F33B4B"/>
    <w:rsid w:val="00F33E01"/>
    <w:rsid w:val="00F45CAB"/>
    <w:rsid w:val="00F50D2B"/>
    <w:rsid w:val="00F5245B"/>
    <w:rsid w:val="00F70936"/>
    <w:rsid w:val="00F70A9B"/>
    <w:rsid w:val="00F72141"/>
    <w:rsid w:val="00F80803"/>
    <w:rsid w:val="00F813A8"/>
    <w:rsid w:val="00F81F51"/>
    <w:rsid w:val="00F947D5"/>
    <w:rsid w:val="00FA385F"/>
    <w:rsid w:val="00FB3E2F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3DE7B"/>
  <w15:chartTrackingRefBased/>
  <w15:docId w15:val="{D58022D9-C4B4-4AA7-B130-C9CFAE4A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DRP Body"/>
    <w:qFormat/>
    <w:rsid w:val="00E44E35"/>
    <w:pPr>
      <w:spacing w:after="200" w:line="276" w:lineRule="auto"/>
    </w:pPr>
    <w:rPr>
      <w:rFonts w:ascii="Calibri Light" w:eastAsia="Times New Roman" w:hAnsi="Calibri Light" w:cs="Calibri Light"/>
      <w:color w:val="2C3849" w:themeColor="text1"/>
      <w:kern w:val="0"/>
      <w:szCs w:val="28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83D"/>
    <w:pPr>
      <w:outlineLvl w:val="0"/>
    </w:pPr>
    <w:rPr>
      <w:rFonts w:ascii="Calibri" w:hAnsi="Calibri" w:cs="Calibri"/>
      <w:b/>
      <w:bCs/>
      <w:color w:val="61439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83D"/>
    <w:pPr>
      <w:outlineLvl w:val="1"/>
    </w:pPr>
    <w:rPr>
      <w:rFonts w:ascii="Calibri" w:hAnsi="Calibri" w:cs="Calibri"/>
      <w:b/>
      <w:bCs/>
      <w:color w:val="2C394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83D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1293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83D"/>
    <w:pPr>
      <w:keepNext/>
      <w:keepLines/>
      <w:spacing w:before="80" w:after="40"/>
      <w:outlineLvl w:val="4"/>
    </w:pPr>
    <w:rPr>
      <w:rFonts w:eastAsiaTheme="majorEastAsia" w:cstheme="majorBidi"/>
      <w:color w:val="2129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F799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83D"/>
    <w:pPr>
      <w:keepNext/>
      <w:keepLines/>
      <w:spacing w:before="40" w:after="0"/>
      <w:outlineLvl w:val="6"/>
    </w:pPr>
    <w:rPr>
      <w:rFonts w:eastAsiaTheme="majorEastAsia" w:cstheme="majorBidi"/>
      <w:color w:val="5F799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83D"/>
    <w:pPr>
      <w:keepNext/>
      <w:keepLines/>
      <w:spacing w:after="0"/>
      <w:outlineLvl w:val="7"/>
    </w:pPr>
    <w:rPr>
      <w:rFonts w:eastAsiaTheme="majorEastAsia" w:cstheme="majorBidi"/>
      <w:i/>
      <w:iCs/>
      <w:color w:val="42546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83D"/>
    <w:pPr>
      <w:keepNext/>
      <w:keepLines/>
      <w:spacing w:after="0"/>
      <w:outlineLvl w:val="8"/>
    </w:pPr>
    <w:rPr>
      <w:rFonts w:eastAsiaTheme="majorEastAsia" w:cstheme="majorBidi"/>
      <w:color w:val="42546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83D"/>
    <w:rPr>
      <w:rFonts w:ascii="Calibri" w:eastAsia="Times New Roman" w:hAnsi="Calibri" w:cs="Calibri"/>
      <w:b/>
      <w:bCs/>
      <w:color w:val="614393"/>
      <w:kern w:val="0"/>
      <w:sz w:val="44"/>
      <w:szCs w:val="44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083D"/>
    <w:rPr>
      <w:rFonts w:ascii="Calibri" w:eastAsia="Times New Roman" w:hAnsi="Calibri" w:cs="Calibri"/>
      <w:b/>
      <w:bCs/>
      <w:color w:val="2C3949"/>
      <w:kern w:val="0"/>
      <w:sz w:val="36"/>
      <w:szCs w:val="3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083D"/>
    <w:rPr>
      <w:rFonts w:ascii="Calibri Light" w:eastAsia="Times New Roman" w:hAnsi="Calibri Light" w:cs="Calibri Light"/>
      <w:b/>
      <w:bCs/>
      <w:color w:val="2C3849" w:themeColor="text1"/>
      <w:kern w:val="0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1707F"/>
    <w:rPr>
      <w:rFonts w:ascii="Calibri Light" w:eastAsiaTheme="majorEastAsia" w:hAnsi="Calibri Light" w:cstheme="majorBidi"/>
      <w:i/>
      <w:iCs/>
      <w:color w:val="212936" w:themeColor="accent1" w:themeShade="BF"/>
      <w:kern w:val="0"/>
      <w:szCs w:val="28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83D"/>
    <w:rPr>
      <w:rFonts w:eastAsiaTheme="majorEastAsia" w:cstheme="majorBidi"/>
      <w:color w:val="2129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83D"/>
    <w:rPr>
      <w:rFonts w:eastAsiaTheme="majorEastAsia" w:cstheme="majorBidi"/>
      <w:i/>
      <w:iCs/>
      <w:color w:val="5F799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83D"/>
    <w:rPr>
      <w:rFonts w:eastAsiaTheme="majorEastAsia" w:cstheme="majorBidi"/>
      <w:color w:val="5F799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83D"/>
    <w:rPr>
      <w:rFonts w:eastAsiaTheme="majorEastAsia" w:cstheme="majorBidi"/>
      <w:i/>
      <w:iCs/>
      <w:color w:val="42546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83D"/>
    <w:rPr>
      <w:rFonts w:eastAsiaTheme="majorEastAsia" w:cstheme="majorBidi"/>
      <w:color w:val="42546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83D"/>
    <w:pPr>
      <w:numPr>
        <w:ilvl w:val="1"/>
      </w:numPr>
    </w:pPr>
    <w:rPr>
      <w:rFonts w:eastAsiaTheme="majorEastAsia" w:cstheme="majorBidi"/>
      <w:color w:val="5F799E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83D"/>
    <w:rPr>
      <w:rFonts w:eastAsiaTheme="majorEastAsia" w:cstheme="majorBidi"/>
      <w:color w:val="5F799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83D"/>
    <w:pPr>
      <w:spacing w:before="160"/>
      <w:jc w:val="center"/>
    </w:pPr>
    <w:rPr>
      <w:i/>
      <w:iCs/>
      <w:color w:val="51668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83D"/>
    <w:rPr>
      <w:i/>
      <w:iCs/>
      <w:color w:val="516686" w:themeColor="text1" w:themeTint="BF"/>
    </w:rPr>
  </w:style>
  <w:style w:type="paragraph" w:styleId="ListParagraph">
    <w:name w:val="List Paragraph"/>
    <w:aliases w:val="NDRP List Paragraph,List Paragraph11,Recommendation,List Paragraph1,L,Bullet point,List Paragraph111,F5 List Paragraph,Dot pt,CV text,Table text,Medium Grid 1 - Accent 21,Numbered Paragraph,List Paragraph2,NFP GP Bulleted List,FooterText"/>
    <w:basedOn w:val="Normal"/>
    <w:link w:val="ListParagraphChar"/>
    <w:uiPriority w:val="34"/>
    <w:qFormat/>
    <w:rsid w:val="00050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83D"/>
    <w:rPr>
      <w:i/>
      <w:iCs/>
      <w:color w:val="21293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83D"/>
    <w:pPr>
      <w:pBdr>
        <w:top w:val="single" w:sz="4" w:space="10" w:color="212936" w:themeColor="accent1" w:themeShade="BF"/>
        <w:bottom w:val="single" w:sz="4" w:space="10" w:color="212936" w:themeColor="accent1" w:themeShade="BF"/>
      </w:pBdr>
      <w:spacing w:before="360" w:after="360"/>
      <w:ind w:left="864" w:right="864"/>
      <w:jc w:val="center"/>
    </w:pPr>
    <w:rPr>
      <w:i/>
      <w:iCs/>
      <w:color w:val="21293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83D"/>
    <w:rPr>
      <w:i/>
      <w:iCs/>
      <w:color w:val="21293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83D"/>
    <w:rPr>
      <w:b/>
      <w:bCs/>
      <w:smallCaps/>
      <w:color w:val="212936" w:themeColor="accent1" w:themeShade="BF"/>
      <w:spacing w:val="5"/>
    </w:rPr>
  </w:style>
  <w:style w:type="paragraph" w:styleId="CommentText">
    <w:name w:val="annotation text"/>
    <w:aliases w:val="NDPR Comment Text"/>
    <w:basedOn w:val="Footer"/>
    <w:link w:val="CommentTextChar"/>
    <w:autoRedefine/>
    <w:uiPriority w:val="99"/>
    <w:unhideWhenUsed/>
    <w:qFormat/>
    <w:rsid w:val="0005083D"/>
    <w:pPr>
      <w:pBdr>
        <w:left w:val="single" w:sz="24" w:space="10" w:color="auto"/>
      </w:pBdr>
      <w:spacing w:before="240" w:after="360"/>
    </w:pPr>
  </w:style>
  <w:style w:type="character" w:customStyle="1" w:styleId="CommentTextChar">
    <w:name w:val="Comment Text Char"/>
    <w:aliases w:val="NDPR Comment Text Char"/>
    <w:basedOn w:val="DefaultParagraphFont"/>
    <w:link w:val="CommentText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0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paragraph" w:styleId="Footer">
    <w:name w:val="footer"/>
    <w:aliases w:val="NDPR Footer"/>
    <w:basedOn w:val="Normal"/>
    <w:link w:val="FooterChar"/>
    <w:uiPriority w:val="99"/>
    <w:unhideWhenUsed/>
    <w:rsid w:val="0005083D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NDPR Footer Char"/>
    <w:basedOn w:val="DefaultParagraphFont"/>
    <w:link w:val="Footer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table" w:styleId="TableGrid">
    <w:name w:val="Table Grid"/>
    <w:basedOn w:val="TableNormal"/>
    <w:uiPriority w:val="39"/>
    <w:rsid w:val="0005083D"/>
    <w:pPr>
      <w:spacing w:after="200" w:line="276" w:lineRule="auto"/>
      <w:ind w:firstLine="360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83D"/>
    <w:rPr>
      <w:color w:val="61439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83D"/>
    <w:rPr>
      <w:sz w:val="16"/>
      <w:szCs w:val="16"/>
    </w:rPr>
  </w:style>
  <w:style w:type="paragraph" w:styleId="Revision">
    <w:name w:val="Revision"/>
    <w:hidden/>
    <w:uiPriority w:val="99"/>
    <w:semiHidden/>
    <w:rsid w:val="0005083D"/>
    <w:pPr>
      <w:spacing w:after="0" w:line="240" w:lineRule="auto"/>
    </w:pPr>
    <w:rPr>
      <w:rFonts w:ascii="Calibri Light" w:eastAsia="Times New Roman" w:hAnsi="Calibri Light" w:cs="Calibri Light"/>
      <w:color w:val="2C3849" w:themeColor="text1"/>
      <w:kern w:val="0"/>
      <w:szCs w:val="28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83D"/>
    <w:pPr>
      <w:pBdr>
        <w:left w:val="none" w:sz="0" w:space="0" w:color="auto"/>
      </w:pBdr>
      <w:tabs>
        <w:tab w:val="clear" w:pos="4513"/>
        <w:tab w:val="clear" w:pos="9026"/>
      </w:tabs>
      <w:spacing w:before="0" w:after="20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83D"/>
    <w:rPr>
      <w:rFonts w:ascii="Calibri Light" w:eastAsia="Times New Roman" w:hAnsi="Calibri Light" w:cs="Calibri Light"/>
      <w:b/>
      <w:bCs/>
      <w:color w:val="2C3849" w:themeColor="text1"/>
      <w:kern w:val="0"/>
      <w:sz w:val="20"/>
      <w:szCs w:val="2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92C9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44E35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1293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44E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4E35"/>
    <w:pPr>
      <w:spacing w:after="100"/>
      <w:ind w:left="240"/>
    </w:pPr>
  </w:style>
  <w:style w:type="table" w:styleId="GridTable1Light-Accent5">
    <w:name w:val="Grid Table 1 Light Accent 5"/>
    <w:basedOn w:val="TableNormal"/>
    <w:uiPriority w:val="46"/>
    <w:rsid w:val="00E44E35"/>
    <w:pPr>
      <w:spacing w:after="0" w:line="240" w:lineRule="auto"/>
    </w:pPr>
    <w:tblPr>
      <w:tblStyleRowBandSize w:val="1"/>
      <w:tblStyleColBandSize w:val="1"/>
      <w:tblBorders>
        <w:top w:val="single" w:sz="4" w:space="0" w:color="BEADD9" w:themeColor="accent5" w:themeTint="66"/>
        <w:left w:val="single" w:sz="4" w:space="0" w:color="BEADD9" w:themeColor="accent5" w:themeTint="66"/>
        <w:bottom w:val="single" w:sz="4" w:space="0" w:color="BEADD9" w:themeColor="accent5" w:themeTint="66"/>
        <w:right w:val="single" w:sz="4" w:space="0" w:color="BEADD9" w:themeColor="accent5" w:themeTint="66"/>
        <w:insideH w:val="single" w:sz="4" w:space="0" w:color="BEADD9" w:themeColor="accent5" w:themeTint="66"/>
        <w:insideV w:val="single" w:sz="4" w:space="0" w:color="BEADD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D85C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85C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910F43"/>
    <w:pPr>
      <w:spacing w:after="100"/>
      <w:ind w:left="480"/>
    </w:pPr>
  </w:style>
  <w:style w:type="table" w:styleId="GridTable1Light-Accent4">
    <w:name w:val="Grid Table 1 Light Accent 4"/>
    <w:basedOn w:val="TableNormal"/>
    <w:uiPriority w:val="46"/>
    <w:rsid w:val="002B79D6"/>
    <w:pPr>
      <w:spacing w:after="0" w:line="240" w:lineRule="auto"/>
    </w:pPr>
    <w:tblPr>
      <w:tblStyleRowBandSize w:val="1"/>
      <w:tblStyleColBandSize w:val="1"/>
      <w:tblBorders>
        <w:top w:val="single" w:sz="4" w:space="0" w:color="E5B4D3" w:themeColor="accent4" w:themeTint="66"/>
        <w:left w:val="single" w:sz="4" w:space="0" w:color="E5B4D3" w:themeColor="accent4" w:themeTint="66"/>
        <w:bottom w:val="single" w:sz="4" w:space="0" w:color="E5B4D3" w:themeColor="accent4" w:themeTint="66"/>
        <w:right w:val="single" w:sz="4" w:space="0" w:color="E5B4D3" w:themeColor="accent4" w:themeTint="66"/>
        <w:insideH w:val="single" w:sz="4" w:space="0" w:color="E5B4D3" w:themeColor="accent4" w:themeTint="66"/>
        <w:insideV w:val="single" w:sz="4" w:space="0" w:color="E5B4D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8FB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8FB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7696"/>
    <w:pPr>
      <w:spacing w:after="0" w:line="240" w:lineRule="auto"/>
    </w:pPr>
    <w:tblPr>
      <w:tblStyleRowBandSize w:val="1"/>
      <w:tblStyleColBandSize w:val="1"/>
      <w:tblBorders>
        <w:top w:val="single" w:sz="4" w:space="0" w:color="B1D0E0" w:themeColor="accent3" w:themeTint="66"/>
        <w:left w:val="single" w:sz="4" w:space="0" w:color="B1D0E0" w:themeColor="accent3" w:themeTint="66"/>
        <w:bottom w:val="single" w:sz="4" w:space="0" w:color="B1D0E0" w:themeColor="accent3" w:themeTint="66"/>
        <w:right w:val="single" w:sz="4" w:space="0" w:color="B1D0E0" w:themeColor="accent3" w:themeTint="66"/>
        <w:insideH w:val="single" w:sz="4" w:space="0" w:color="B1D0E0" w:themeColor="accent3" w:themeTint="66"/>
        <w:insideV w:val="single" w:sz="4" w:space="0" w:color="B1D0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AB8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8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610F"/>
    <w:pPr>
      <w:spacing w:after="0" w:line="240" w:lineRule="auto"/>
    </w:pPr>
    <w:tblPr>
      <w:tblStyleRowBandSize w:val="1"/>
      <w:tblStyleColBandSize w:val="1"/>
      <w:tblBorders>
        <w:top w:val="single" w:sz="4" w:space="0" w:color="9CACC3" w:themeColor="accent1" w:themeTint="66"/>
        <w:left w:val="single" w:sz="4" w:space="0" w:color="9CACC3" w:themeColor="accent1" w:themeTint="66"/>
        <w:bottom w:val="single" w:sz="4" w:space="0" w:color="9CACC3" w:themeColor="accent1" w:themeTint="66"/>
        <w:right w:val="single" w:sz="4" w:space="0" w:color="9CACC3" w:themeColor="accent1" w:themeTint="66"/>
        <w:insideH w:val="single" w:sz="4" w:space="0" w:color="9CACC3" w:themeColor="accent1" w:themeTint="66"/>
        <w:insideV w:val="single" w:sz="4" w:space="0" w:color="9CACC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B83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83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DRP List Paragraph Char,List Paragraph11 Char,Recommendation Char,List Paragraph1 Char,L Char,Bullet point Char,List Paragraph111 Char,F5 List Paragraph Char,Dot pt Char,CV text Char,Table text Char,Medium Grid 1 - Accent 21 Char"/>
    <w:link w:val="ListParagraph"/>
    <w:uiPriority w:val="34"/>
    <w:qFormat/>
    <w:locked/>
    <w:rsid w:val="00760FA6"/>
    <w:rPr>
      <w:rFonts w:ascii="Calibri Light" w:eastAsia="Times New Roman" w:hAnsi="Calibri Light" w:cs="Calibri Light"/>
      <w:color w:val="2C3849" w:themeColor="text1"/>
      <w:kern w:val="0"/>
      <w:szCs w:val="28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287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5A79D4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66D1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XsViBHM-JCs" TargetMode="External"/><Relationship Id="rId18" Type="http://schemas.openxmlformats.org/officeDocument/2006/relationships/diagramQuickStyle" Target="diagrams/quickStyle1.xml"/><Relationship Id="rId26" Type="http://schemas.openxmlformats.org/officeDocument/2006/relationships/hyperlink" Target="https://www.abcb.gov.au/sites/default/files/resources/2022/ABCB%20Board%20Matters%20Review%20Report.pdf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apo.org.au/node/18454/" TargetMode="External"/><Relationship Id="rId34" Type="http://schemas.openxmlformats.org/officeDocument/2006/relationships/hyperlink" Target="https://www.w3.org/TR/WCAG21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hyperlink" Target="https://universaldesignaustralia.net.au/wp-content/uploads/2017/08/lhaguidlineseditionno4-2017.pdf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41682787.fs1.hubspotusercontent-ap1.net/hubfs/441682787/Evidence%20to%20Action/Mar%20Apr%2026/NDRP%20What%20To%20Expect%20ETA%20Accessible%20and%20Inclusive%20Communities%20Event%2023%20March%202026%20v1.docx" TargetMode="External"/><Relationship Id="rId24" Type="http://schemas.openxmlformats.org/officeDocument/2006/relationships/hyperlink" Target="https://knowledge.aidr.org.au/collections/disability-inclusion-and-disasters/" TargetMode="External"/><Relationship Id="rId32" Type="http://schemas.openxmlformats.org/officeDocument/2006/relationships/hyperlink" Target="https://apo.org.au/node/324486" TargetMode="External"/><Relationship Id="rId37" Type="http://schemas.openxmlformats.org/officeDocument/2006/relationships/hyperlink" Target="https://oia.pmc.gov.au/published-impact-analyses-and-reports/disability-standards-accessible-public-transport-2002-0" TargetMode="External"/><Relationship Id="rId40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youtu.be/5ua3cV3PPXc" TargetMode="External"/><Relationship Id="rId23" Type="http://schemas.openxmlformats.org/officeDocument/2006/relationships/hyperlink" Target="https://humanrights.gov.au/resource-hub/by-resource-type/guidelines-and-standards/guides-and-standards-disability-rights/chapter-3-standards-and-guidelines-digital-accessibility/" TargetMode="External"/><Relationship Id="rId28" Type="http://schemas.openxmlformats.org/officeDocument/2006/relationships/hyperlink" Target="https://cyda.org.au/wp-content/uploads/2023/08/supported_school_transport_ndis-1.pdf" TargetMode="External"/><Relationship Id="rId36" Type="http://schemas.openxmlformats.org/officeDocument/2006/relationships/hyperlink" Target="https://oecd-opsi.org/toolkits/australia-digital-service-standard/" TargetMode="External"/><Relationship Id="rId10" Type="http://schemas.openxmlformats.org/officeDocument/2006/relationships/hyperlink" Target="https://www.ndrp.org.au/researchagenda" TargetMode="External"/><Relationship Id="rId19" Type="http://schemas.openxmlformats.org/officeDocument/2006/relationships/diagramColors" Target="diagrams/colors1.xml"/><Relationship Id="rId31" Type="http://schemas.openxmlformats.org/officeDocument/2006/relationships/hyperlink" Target="https://apo.org.au/node/2676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KvpjmGdTls4" TargetMode="External"/><Relationship Id="rId22" Type="http://schemas.openxmlformats.org/officeDocument/2006/relationships/hyperlink" Target="https://www.disabilitygateway.gov.au/ads/strategy" TargetMode="External"/><Relationship Id="rId27" Type="http://schemas.openxmlformats.org/officeDocument/2006/relationships/hyperlink" Target="https://centreforinclusivedesign.org.au/wp-content/uploads/2021/05/inclusive-design-report-digital-160519.pdf" TargetMode="External"/><Relationship Id="rId30" Type="http://schemas.openxmlformats.org/officeDocument/2006/relationships/hyperlink" Target="https://www.pc.gov.au/inquiries-and-research/disability-support/report/" TargetMode="External"/><Relationship Id="rId35" Type="http://schemas.openxmlformats.org/officeDocument/2006/relationships/hyperlink" Target="https://humanrights.gov.au/resource-hub/by-resource-type/guidelines-and-standards/guides-and-standards-disability-rights/chapter-3-standards-and-guidelines-digital-accessibility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M-mzFzBx5LE" TargetMode="External"/><Relationship Id="rId17" Type="http://schemas.openxmlformats.org/officeDocument/2006/relationships/diagramLayout" Target="diagrams/layout1.xml"/><Relationship Id="rId25" Type="http://schemas.openxmlformats.org/officeDocument/2006/relationships/hyperlink" Target="https://www.aihw.gov.au/reports/disability/people-with-disability-in-australia/contents/summary" TargetMode="External"/><Relationship Id="rId33" Type="http://schemas.openxmlformats.org/officeDocument/2006/relationships/hyperlink" Target="https://www.ohchr.org/en/instruments-mechanisms/instruments/convention-rights-persons-disabilities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rp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drporgau.sharepoint.com/sites/NDRPTemplates/NDRP%20Assets/Normal%20NDRP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05F354-4EF5-474A-A85D-F29ABFDEE079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B2E0E94D-4886-406E-A0AF-9655B95EA201}">
      <dgm:prSet phldrT="[Text]" custT="1"/>
      <dgm:spPr/>
      <dgm:t>
        <a:bodyPr/>
        <a:lstStyle/>
        <a:p>
          <a:r>
            <a:rPr lang="en-AU" sz="1050" b="1"/>
            <a:t>Existing evidence</a:t>
          </a:r>
        </a:p>
      </dgm:t>
    </dgm:pt>
    <dgm:pt modelId="{AA14B8C9-7B9C-4F66-AC90-B979C95AA3F8}" type="parTrans" cxnId="{ABB8FFC6-0F10-43FF-AD78-9D663253E74E}">
      <dgm:prSet/>
      <dgm:spPr/>
      <dgm:t>
        <a:bodyPr/>
        <a:lstStyle/>
        <a:p>
          <a:endParaRPr lang="en-AU" sz="1050" b="1"/>
        </a:p>
      </dgm:t>
    </dgm:pt>
    <dgm:pt modelId="{9C5EDFFF-C1CD-4B19-A1DC-A4D5F8729F2F}" type="sibTrans" cxnId="{ABB8FFC6-0F10-43FF-AD78-9D663253E74E}">
      <dgm:prSet custT="1"/>
      <dgm:spPr/>
      <dgm:t>
        <a:bodyPr/>
        <a:lstStyle/>
        <a:p>
          <a:endParaRPr lang="en-AU" sz="1050" b="1"/>
        </a:p>
      </dgm:t>
    </dgm:pt>
    <dgm:pt modelId="{82CF0E61-31CB-4537-987B-2B725432AF43}">
      <dgm:prSet phldrT="[Text]" custT="1"/>
      <dgm:spPr/>
      <dgm:t>
        <a:bodyPr/>
        <a:lstStyle/>
        <a:p>
          <a:r>
            <a:rPr lang="en-AU" sz="1050" b="1"/>
            <a:t>Recommendations made</a:t>
          </a:r>
        </a:p>
      </dgm:t>
    </dgm:pt>
    <dgm:pt modelId="{592C3101-4262-4CDB-B42D-198AF68DC7FB}" type="parTrans" cxnId="{77459AE9-8C84-483E-89AD-529819DB28DD}">
      <dgm:prSet/>
      <dgm:spPr/>
      <dgm:t>
        <a:bodyPr/>
        <a:lstStyle/>
        <a:p>
          <a:endParaRPr lang="en-AU" sz="1050" b="1"/>
        </a:p>
      </dgm:t>
    </dgm:pt>
    <dgm:pt modelId="{F7E516D8-B887-4CF1-AC13-00ED7A920792}" type="sibTrans" cxnId="{77459AE9-8C84-483E-89AD-529819DB28DD}">
      <dgm:prSet custT="1"/>
      <dgm:spPr/>
      <dgm:t>
        <a:bodyPr/>
        <a:lstStyle/>
        <a:p>
          <a:endParaRPr lang="en-AU" sz="1050" b="1"/>
        </a:p>
      </dgm:t>
    </dgm:pt>
    <dgm:pt modelId="{87077BDE-D109-4081-92B2-8AE84B67D671}">
      <dgm:prSet phldrT="[Text]" custT="1"/>
      <dgm:spPr/>
      <dgm:t>
        <a:bodyPr/>
        <a:lstStyle/>
        <a:p>
          <a:r>
            <a:rPr lang="en-AU" sz="1050" b="1"/>
            <a:t>Implementation gap</a:t>
          </a:r>
        </a:p>
      </dgm:t>
    </dgm:pt>
    <dgm:pt modelId="{507E802D-F9F9-416B-82AC-388BC7D9DF65}" type="parTrans" cxnId="{5FB33355-5928-45BB-9B46-F66AC38AECAE}">
      <dgm:prSet/>
      <dgm:spPr/>
      <dgm:t>
        <a:bodyPr/>
        <a:lstStyle/>
        <a:p>
          <a:endParaRPr lang="en-AU" sz="1050" b="1"/>
        </a:p>
      </dgm:t>
    </dgm:pt>
    <dgm:pt modelId="{EBBFDA62-A399-4663-BC4D-1A5D4017E8F1}" type="sibTrans" cxnId="{5FB33355-5928-45BB-9B46-F66AC38AECAE}">
      <dgm:prSet custT="1"/>
      <dgm:spPr/>
      <dgm:t>
        <a:bodyPr/>
        <a:lstStyle/>
        <a:p>
          <a:endParaRPr lang="en-AU" sz="1050" b="1"/>
        </a:p>
      </dgm:t>
    </dgm:pt>
    <dgm:pt modelId="{8E9E9299-4D98-4229-A379-A98797AA299F}">
      <dgm:prSet phldrT="[Text]" custT="1"/>
      <dgm:spPr/>
      <dgm:t>
        <a:bodyPr/>
        <a:lstStyle/>
        <a:p>
          <a:r>
            <a:rPr lang="en-AU" sz="1050" b="1"/>
            <a:t>Accountability gap</a:t>
          </a:r>
        </a:p>
      </dgm:t>
    </dgm:pt>
    <dgm:pt modelId="{3A3FD15D-E228-45E3-87DE-A5901903C913}" type="parTrans" cxnId="{95F1D6F5-079B-4969-926A-E9BEF6A3D1A6}">
      <dgm:prSet/>
      <dgm:spPr/>
      <dgm:t>
        <a:bodyPr/>
        <a:lstStyle/>
        <a:p>
          <a:endParaRPr lang="en-AU" sz="1050" b="1"/>
        </a:p>
      </dgm:t>
    </dgm:pt>
    <dgm:pt modelId="{25D11C51-252B-405A-B180-6ECC0A58083F}" type="sibTrans" cxnId="{95F1D6F5-079B-4969-926A-E9BEF6A3D1A6}">
      <dgm:prSet custT="1"/>
      <dgm:spPr/>
      <dgm:t>
        <a:bodyPr/>
        <a:lstStyle/>
        <a:p>
          <a:endParaRPr lang="en-AU" sz="1050" b="1"/>
        </a:p>
      </dgm:t>
    </dgm:pt>
    <dgm:pt modelId="{7BAB0377-32AA-43CF-A0BE-17AEE9F52869}">
      <dgm:prSet phldrT="[Text]" custT="1"/>
      <dgm:spPr/>
      <dgm:t>
        <a:bodyPr/>
        <a:lstStyle/>
        <a:p>
          <a:r>
            <a:rPr lang="en-AU" sz="1050" b="1"/>
            <a:t>Opportunity for research</a:t>
          </a:r>
        </a:p>
      </dgm:t>
    </dgm:pt>
    <dgm:pt modelId="{869250A5-0D3B-451F-B022-507B008C5BC6}" type="parTrans" cxnId="{8DE020EB-448A-431E-AC1A-92929DA7A301}">
      <dgm:prSet/>
      <dgm:spPr/>
      <dgm:t>
        <a:bodyPr/>
        <a:lstStyle/>
        <a:p>
          <a:endParaRPr lang="en-AU" sz="1050" b="1"/>
        </a:p>
      </dgm:t>
    </dgm:pt>
    <dgm:pt modelId="{E611435F-F4BB-4CB1-9A9D-E589883686EF}" type="sibTrans" cxnId="{8DE020EB-448A-431E-AC1A-92929DA7A301}">
      <dgm:prSet custT="1"/>
      <dgm:spPr/>
      <dgm:t>
        <a:bodyPr/>
        <a:lstStyle/>
        <a:p>
          <a:endParaRPr lang="en-AU" sz="1050" b="1"/>
        </a:p>
      </dgm:t>
    </dgm:pt>
    <dgm:pt modelId="{758CB449-6854-4740-AC97-1513D61011B8}" type="pres">
      <dgm:prSet presAssocID="{B305F354-4EF5-474A-A85D-F29ABFDEE079}" presName="cycle" presStyleCnt="0">
        <dgm:presLayoutVars>
          <dgm:dir/>
          <dgm:resizeHandles val="exact"/>
        </dgm:presLayoutVars>
      </dgm:prSet>
      <dgm:spPr/>
    </dgm:pt>
    <dgm:pt modelId="{A8A22DA3-B40D-4B1A-94CA-740B16053CD1}" type="pres">
      <dgm:prSet presAssocID="{B2E0E94D-4886-406E-A0AF-9655B95EA201}" presName="node" presStyleLbl="node1" presStyleIdx="0" presStyleCnt="5">
        <dgm:presLayoutVars>
          <dgm:bulletEnabled val="1"/>
        </dgm:presLayoutVars>
      </dgm:prSet>
      <dgm:spPr/>
    </dgm:pt>
    <dgm:pt modelId="{100234A2-2249-40F5-82B1-0CAB48B2CDE5}" type="pres">
      <dgm:prSet presAssocID="{9C5EDFFF-C1CD-4B19-A1DC-A4D5F8729F2F}" presName="sibTrans" presStyleLbl="sibTrans2D1" presStyleIdx="0" presStyleCnt="5"/>
      <dgm:spPr/>
    </dgm:pt>
    <dgm:pt modelId="{78B191C3-F2EC-4335-8171-0CB914B0DD69}" type="pres">
      <dgm:prSet presAssocID="{9C5EDFFF-C1CD-4B19-A1DC-A4D5F8729F2F}" presName="connectorText" presStyleLbl="sibTrans2D1" presStyleIdx="0" presStyleCnt="5"/>
      <dgm:spPr/>
    </dgm:pt>
    <dgm:pt modelId="{0D4D28F6-7B03-4AC2-B747-47C2B2C3C079}" type="pres">
      <dgm:prSet presAssocID="{82CF0E61-31CB-4537-987B-2B725432AF43}" presName="node" presStyleLbl="node1" presStyleIdx="1" presStyleCnt="5">
        <dgm:presLayoutVars>
          <dgm:bulletEnabled val="1"/>
        </dgm:presLayoutVars>
      </dgm:prSet>
      <dgm:spPr/>
    </dgm:pt>
    <dgm:pt modelId="{ECF8D677-FB1F-4270-88C8-1B1E43EB9968}" type="pres">
      <dgm:prSet presAssocID="{F7E516D8-B887-4CF1-AC13-00ED7A920792}" presName="sibTrans" presStyleLbl="sibTrans2D1" presStyleIdx="1" presStyleCnt="5"/>
      <dgm:spPr/>
    </dgm:pt>
    <dgm:pt modelId="{35C45E8A-FBC0-44BF-95B5-A09522803CC5}" type="pres">
      <dgm:prSet presAssocID="{F7E516D8-B887-4CF1-AC13-00ED7A920792}" presName="connectorText" presStyleLbl="sibTrans2D1" presStyleIdx="1" presStyleCnt="5"/>
      <dgm:spPr/>
    </dgm:pt>
    <dgm:pt modelId="{73FC1121-4AD4-4683-9528-742D1C49A957}" type="pres">
      <dgm:prSet presAssocID="{87077BDE-D109-4081-92B2-8AE84B67D671}" presName="node" presStyleLbl="node1" presStyleIdx="2" presStyleCnt="5">
        <dgm:presLayoutVars>
          <dgm:bulletEnabled val="1"/>
        </dgm:presLayoutVars>
      </dgm:prSet>
      <dgm:spPr/>
    </dgm:pt>
    <dgm:pt modelId="{EEA1B322-B931-4464-ADD6-1A663211CCBC}" type="pres">
      <dgm:prSet presAssocID="{EBBFDA62-A399-4663-BC4D-1A5D4017E8F1}" presName="sibTrans" presStyleLbl="sibTrans2D1" presStyleIdx="2" presStyleCnt="5"/>
      <dgm:spPr/>
    </dgm:pt>
    <dgm:pt modelId="{8B0F01EA-1C0D-4921-834F-5DA7A8E2B0D2}" type="pres">
      <dgm:prSet presAssocID="{EBBFDA62-A399-4663-BC4D-1A5D4017E8F1}" presName="connectorText" presStyleLbl="sibTrans2D1" presStyleIdx="2" presStyleCnt="5"/>
      <dgm:spPr/>
    </dgm:pt>
    <dgm:pt modelId="{EE31439D-91F1-4DB0-A4DD-D43C8BCDC878}" type="pres">
      <dgm:prSet presAssocID="{8E9E9299-4D98-4229-A379-A98797AA299F}" presName="node" presStyleLbl="node1" presStyleIdx="3" presStyleCnt="5">
        <dgm:presLayoutVars>
          <dgm:bulletEnabled val="1"/>
        </dgm:presLayoutVars>
      </dgm:prSet>
      <dgm:spPr/>
    </dgm:pt>
    <dgm:pt modelId="{D6A146E6-40DC-4496-97FB-F7117DA42B2A}" type="pres">
      <dgm:prSet presAssocID="{25D11C51-252B-405A-B180-6ECC0A58083F}" presName="sibTrans" presStyleLbl="sibTrans2D1" presStyleIdx="3" presStyleCnt="5"/>
      <dgm:spPr/>
    </dgm:pt>
    <dgm:pt modelId="{08CB9F78-508C-433F-B9D9-8E2300CDAA51}" type="pres">
      <dgm:prSet presAssocID="{25D11C51-252B-405A-B180-6ECC0A58083F}" presName="connectorText" presStyleLbl="sibTrans2D1" presStyleIdx="3" presStyleCnt="5"/>
      <dgm:spPr/>
    </dgm:pt>
    <dgm:pt modelId="{84B996E1-86BB-4BE3-86A8-4E429A3EB2F0}" type="pres">
      <dgm:prSet presAssocID="{7BAB0377-32AA-43CF-A0BE-17AEE9F52869}" presName="node" presStyleLbl="node1" presStyleIdx="4" presStyleCnt="5">
        <dgm:presLayoutVars>
          <dgm:bulletEnabled val="1"/>
        </dgm:presLayoutVars>
      </dgm:prSet>
      <dgm:spPr/>
    </dgm:pt>
    <dgm:pt modelId="{A538C389-BE2B-4F21-B3DC-D9A7C5757B7C}" type="pres">
      <dgm:prSet presAssocID="{E611435F-F4BB-4CB1-9A9D-E589883686EF}" presName="sibTrans" presStyleLbl="sibTrans2D1" presStyleIdx="4" presStyleCnt="5"/>
      <dgm:spPr/>
    </dgm:pt>
    <dgm:pt modelId="{73AE8A85-1684-442B-8A1C-E4C227212840}" type="pres">
      <dgm:prSet presAssocID="{E611435F-F4BB-4CB1-9A9D-E589883686EF}" presName="connectorText" presStyleLbl="sibTrans2D1" presStyleIdx="4" presStyleCnt="5"/>
      <dgm:spPr/>
    </dgm:pt>
  </dgm:ptLst>
  <dgm:cxnLst>
    <dgm:cxn modelId="{B705B70B-2105-43B9-90C5-F7CE204395D2}" type="presOf" srcId="{82CF0E61-31CB-4537-987B-2B725432AF43}" destId="{0D4D28F6-7B03-4AC2-B747-47C2B2C3C079}" srcOrd="0" destOrd="0" presId="urn:microsoft.com/office/officeart/2005/8/layout/cycle2"/>
    <dgm:cxn modelId="{9D5F1F0D-D3CC-4907-AFB0-4B252766BC6D}" type="presOf" srcId="{25D11C51-252B-405A-B180-6ECC0A58083F}" destId="{D6A146E6-40DC-4496-97FB-F7117DA42B2A}" srcOrd="0" destOrd="0" presId="urn:microsoft.com/office/officeart/2005/8/layout/cycle2"/>
    <dgm:cxn modelId="{52F11F0D-1E9F-4FD0-B737-C0E95CECFB63}" type="presOf" srcId="{9C5EDFFF-C1CD-4B19-A1DC-A4D5F8729F2F}" destId="{78B191C3-F2EC-4335-8171-0CB914B0DD69}" srcOrd="1" destOrd="0" presId="urn:microsoft.com/office/officeart/2005/8/layout/cycle2"/>
    <dgm:cxn modelId="{B4FC9615-F96E-4896-87D9-A4C3A2143324}" type="presOf" srcId="{EBBFDA62-A399-4663-BC4D-1A5D4017E8F1}" destId="{8B0F01EA-1C0D-4921-834F-5DA7A8E2B0D2}" srcOrd="1" destOrd="0" presId="urn:microsoft.com/office/officeart/2005/8/layout/cycle2"/>
    <dgm:cxn modelId="{7F90EE21-C969-41E3-B427-1391E7AE7CDE}" type="presOf" srcId="{B305F354-4EF5-474A-A85D-F29ABFDEE079}" destId="{758CB449-6854-4740-AC97-1513D61011B8}" srcOrd="0" destOrd="0" presId="urn:microsoft.com/office/officeart/2005/8/layout/cycle2"/>
    <dgm:cxn modelId="{AB985E25-32D1-4AD3-82B6-F6763D129424}" type="presOf" srcId="{25D11C51-252B-405A-B180-6ECC0A58083F}" destId="{08CB9F78-508C-433F-B9D9-8E2300CDAA51}" srcOrd="1" destOrd="0" presId="urn:microsoft.com/office/officeart/2005/8/layout/cycle2"/>
    <dgm:cxn modelId="{1701D529-681D-4A11-8692-0F7AB293C8D4}" type="presOf" srcId="{8E9E9299-4D98-4229-A379-A98797AA299F}" destId="{EE31439D-91F1-4DB0-A4DD-D43C8BCDC878}" srcOrd="0" destOrd="0" presId="urn:microsoft.com/office/officeart/2005/8/layout/cycle2"/>
    <dgm:cxn modelId="{63A6C642-2FDE-4435-A086-74627AF6DC09}" type="presOf" srcId="{E611435F-F4BB-4CB1-9A9D-E589883686EF}" destId="{A538C389-BE2B-4F21-B3DC-D9A7C5757B7C}" srcOrd="0" destOrd="0" presId="urn:microsoft.com/office/officeart/2005/8/layout/cycle2"/>
    <dgm:cxn modelId="{F19DC971-4E0D-43EF-B0E3-EDF6C99D29D8}" type="presOf" srcId="{F7E516D8-B887-4CF1-AC13-00ED7A920792}" destId="{ECF8D677-FB1F-4270-88C8-1B1E43EB9968}" srcOrd="0" destOrd="0" presId="urn:microsoft.com/office/officeart/2005/8/layout/cycle2"/>
    <dgm:cxn modelId="{5FB33355-5928-45BB-9B46-F66AC38AECAE}" srcId="{B305F354-4EF5-474A-A85D-F29ABFDEE079}" destId="{87077BDE-D109-4081-92B2-8AE84B67D671}" srcOrd="2" destOrd="0" parTransId="{507E802D-F9F9-416B-82AC-388BC7D9DF65}" sibTransId="{EBBFDA62-A399-4663-BC4D-1A5D4017E8F1}"/>
    <dgm:cxn modelId="{E8D3277E-43AE-4718-B148-626BACBD403B}" type="presOf" srcId="{87077BDE-D109-4081-92B2-8AE84B67D671}" destId="{73FC1121-4AD4-4683-9528-742D1C49A957}" srcOrd="0" destOrd="0" presId="urn:microsoft.com/office/officeart/2005/8/layout/cycle2"/>
    <dgm:cxn modelId="{8F8C34B6-C262-49C6-8FA2-C323A206C94D}" type="presOf" srcId="{9C5EDFFF-C1CD-4B19-A1DC-A4D5F8729F2F}" destId="{100234A2-2249-40F5-82B1-0CAB48B2CDE5}" srcOrd="0" destOrd="0" presId="urn:microsoft.com/office/officeart/2005/8/layout/cycle2"/>
    <dgm:cxn modelId="{2C6860BF-9E01-4975-9E73-C9516648A605}" type="presOf" srcId="{EBBFDA62-A399-4663-BC4D-1A5D4017E8F1}" destId="{EEA1B322-B931-4464-ADD6-1A663211CCBC}" srcOrd="0" destOrd="0" presId="urn:microsoft.com/office/officeart/2005/8/layout/cycle2"/>
    <dgm:cxn modelId="{ABB8FFC6-0F10-43FF-AD78-9D663253E74E}" srcId="{B305F354-4EF5-474A-A85D-F29ABFDEE079}" destId="{B2E0E94D-4886-406E-A0AF-9655B95EA201}" srcOrd="0" destOrd="0" parTransId="{AA14B8C9-7B9C-4F66-AC90-B979C95AA3F8}" sibTransId="{9C5EDFFF-C1CD-4B19-A1DC-A4D5F8729F2F}"/>
    <dgm:cxn modelId="{BDB5DBCC-1944-4C20-A785-739C29ABE195}" type="presOf" srcId="{E611435F-F4BB-4CB1-9A9D-E589883686EF}" destId="{73AE8A85-1684-442B-8A1C-E4C227212840}" srcOrd="1" destOrd="0" presId="urn:microsoft.com/office/officeart/2005/8/layout/cycle2"/>
    <dgm:cxn modelId="{C6ED3ACE-4D54-4217-B842-B9BB62AE6D5D}" type="presOf" srcId="{7BAB0377-32AA-43CF-A0BE-17AEE9F52869}" destId="{84B996E1-86BB-4BE3-86A8-4E429A3EB2F0}" srcOrd="0" destOrd="0" presId="urn:microsoft.com/office/officeart/2005/8/layout/cycle2"/>
    <dgm:cxn modelId="{EB75B9D3-F42C-4048-9E61-9BD99E96EB35}" type="presOf" srcId="{F7E516D8-B887-4CF1-AC13-00ED7A920792}" destId="{35C45E8A-FBC0-44BF-95B5-A09522803CC5}" srcOrd="1" destOrd="0" presId="urn:microsoft.com/office/officeart/2005/8/layout/cycle2"/>
    <dgm:cxn modelId="{77459AE9-8C84-483E-89AD-529819DB28DD}" srcId="{B305F354-4EF5-474A-A85D-F29ABFDEE079}" destId="{82CF0E61-31CB-4537-987B-2B725432AF43}" srcOrd="1" destOrd="0" parTransId="{592C3101-4262-4CDB-B42D-198AF68DC7FB}" sibTransId="{F7E516D8-B887-4CF1-AC13-00ED7A920792}"/>
    <dgm:cxn modelId="{8DE020EB-448A-431E-AC1A-92929DA7A301}" srcId="{B305F354-4EF5-474A-A85D-F29ABFDEE079}" destId="{7BAB0377-32AA-43CF-A0BE-17AEE9F52869}" srcOrd="4" destOrd="0" parTransId="{869250A5-0D3B-451F-B022-507B008C5BC6}" sibTransId="{E611435F-F4BB-4CB1-9A9D-E589883686EF}"/>
    <dgm:cxn modelId="{CDD70DF3-F7F3-4C78-8749-70B5E428B5CD}" type="presOf" srcId="{B2E0E94D-4886-406E-A0AF-9655B95EA201}" destId="{A8A22DA3-B40D-4B1A-94CA-740B16053CD1}" srcOrd="0" destOrd="0" presId="urn:microsoft.com/office/officeart/2005/8/layout/cycle2"/>
    <dgm:cxn modelId="{95F1D6F5-079B-4969-926A-E9BEF6A3D1A6}" srcId="{B305F354-4EF5-474A-A85D-F29ABFDEE079}" destId="{8E9E9299-4D98-4229-A379-A98797AA299F}" srcOrd="3" destOrd="0" parTransId="{3A3FD15D-E228-45E3-87DE-A5901903C913}" sibTransId="{25D11C51-252B-405A-B180-6ECC0A58083F}"/>
    <dgm:cxn modelId="{296EE081-8315-4F6E-A84C-771985856806}" type="presParOf" srcId="{758CB449-6854-4740-AC97-1513D61011B8}" destId="{A8A22DA3-B40D-4B1A-94CA-740B16053CD1}" srcOrd="0" destOrd="0" presId="urn:microsoft.com/office/officeart/2005/8/layout/cycle2"/>
    <dgm:cxn modelId="{0B966403-D94C-499E-A31E-50696F3AFBDA}" type="presParOf" srcId="{758CB449-6854-4740-AC97-1513D61011B8}" destId="{100234A2-2249-40F5-82B1-0CAB48B2CDE5}" srcOrd="1" destOrd="0" presId="urn:microsoft.com/office/officeart/2005/8/layout/cycle2"/>
    <dgm:cxn modelId="{41439907-2DBE-413D-BF9D-EF6DB1C3D0F1}" type="presParOf" srcId="{100234A2-2249-40F5-82B1-0CAB48B2CDE5}" destId="{78B191C3-F2EC-4335-8171-0CB914B0DD69}" srcOrd="0" destOrd="0" presId="urn:microsoft.com/office/officeart/2005/8/layout/cycle2"/>
    <dgm:cxn modelId="{E18DC41E-4B85-4756-ADA9-6CFEC9A1A21A}" type="presParOf" srcId="{758CB449-6854-4740-AC97-1513D61011B8}" destId="{0D4D28F6-7B03-4AC2-B747-47C2B2C3C079}" srcOrd="2" destOrd="0" presId="urn:microsoft.com/office/officeart/2005/8/layout/cycle2"/>
    <dgm:cxn modelId="{C9EA0E0B-150D-4CA5-8EF9-7DDD9E89700E}" type="presParOf" srcId="{758CB449-6854-4740-AC97-1513D61011B8}" destId="{ECF8D677-FB1F-4270-88C8-1B1E43EB9968}" srcOrd="3" destOrd="0" presId="urn:microsoft.com/office/officeart/2005/8/layout/cycle2"/>
    <dgm:cxn modelId="{69A01F77-3683-425C-A156-FA12A7F5ADD0}" type="presParOf" srcId="{ECF8D677-FB1F-4270-88C8-1B1E43EB9968}" destId="{35C45E8A-FBC0-44BF-95B5-A09522803CC5}" srcOrd="0" destOrd="0" presId="urn:microsoft.com/office/officeart/2005/8/layout/cycle2"/>
    <dgm:cxn modelId="{D752D581-78AB-49E7-BFEB-3D324ED2BCE0}" type="presParOf" srcId="{758CB449-6854-4740-AC97-1513D61011B8}" destId="{73FC1121-4AD4-4683-9528-742D1C49A957}" srcOrd="4" destOrd="0" presId="urn:microsoft.com/office/officeart/2005/8/layout/cycle2"/>
    <dgm:cxn modelId="{C443C6BA-C57E-4D6A-9D3C-023931152E21}" type="presParOf" srcId="{758CB449-6854-4740-AC97-1513D61011B8}" destId="{EEA1B322-B931-4464-ADD6-1A663211CCBC}" srcOrd="5" destOrd="0" presId="urn:microsoft.com/office/officeart/2005/8/layout/cycle2"/>
    <dgm:cxn modelId="{AF63EC25-37E0-493D-8395-AA994457ABF9}" type="presParOf" srcId="{EEA1B322-B931-4464-ADD6-1A663211CCBC}" destId="{8B0F01EA-1C0D-4921-834F-5DA7A8E2B0D2}" srcOrd="0" destOrd="0" presId="urn:microsoft.com/office/officeart/2005/8/layout/cycle2"/>
    <dgm:cxn modelId="{20BF5833-2B35-440F-A2C3-E566CEDF6D20}" type="presParOf" srcId="{758CB449-6854-4740-AC97-1513D61011B8}" destId="{EE31439D-91F1-4DB0-A4DD-D43C8BCDC878}" srcOrd="6" destOrd="0" presId="urn:microsoft.com/office/officeart/2005/8/layout/cycle2"/>
    <dgm:cxn modelId="{0E0B5AD0-3C63-446D-8ED5-8D29B0778916}" type="presParOf" srcId="{758CB449-6854-4740-AC97-1513D61011B8}" destId="{D6A146E6-40DC-4496-97FB-F7117DA42B2A}" srcOrd="7" destOrd="0" presId="urn:microsoft.com/office/officeart/2005/8/layout/cycle2"/>
    <dgm:cxn modelId="{29409969-1E76-4583-8D42-A29A20F068EC}" type="presParOf" srcId="{D6A146E6-40DC-4496-97FB-F7117DA42B2A}" destId="{08CB9F78-508C-433F-B9D9-8E2300CDAA51}" srcOrd="0" destOrd="0" presId="urn:microsoft.com/office/officeart/2005/8/layout/cycle2"/>
    <dgm:cxn modelId="{784FE2C7-1276-4EB7-971A-5639AC88B895}" type="presParOf" srcId="{758CB449-6854-4740-AC97-1513D61011B8}" destId="{84B996E1-86BB-4BE3-86A8-4E429A3EB2F0}" srcOrd="8" destOrd="0" presId="urn:microsoft.com/office/officeart/2005/8/layout/cycle2"/>
    <dgm:cxn modelId="{28A47F69-7959-42F5-B5F1-86FDCF415EE4}" type="presParOf" srcId="{758CB449-6854-4740-AC97-1513D61011B8}" destId="{A538C389-BE2B-4F21-B3DC-D9A7C5757B7C}" srcOrd="9" destOrd="0" presId="urn:microsoft.com/office/officeart/2005/8/layout/cycle2"/>
    <dgm:cxn modelId="{4BB66EE7-20D5-4513-8757-5BF692F02AF8}" type="presParOf" srcId="{A538C389-BE2B-4F21-B3DC-D9A7C5757B7C}" destId="{73AE8A85-1684-442B-8A1C-E4C227212840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A22DA3-B40D-4B1A-94CA-740B16053CD1}">
      <dsp:nvSpPr>
        <dsp:cNvPr id="0" name=""/>
        <dsp:cNvSpPr/>
      </dsp:nvSpPr>
      <dsp:spPr>
        <a:xfrm>
          <a:off x="2306655" y="1213"/>
          <a:ext cx="1527774" cy="152777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b="1" kern="1200"/>
            <a:t>Existing evidence</a:t>
          </a:r>
        </a:p>
      </dsp:txBody>
      <dsp:txXfrm>
        <a:off x="2530392" y="224950"/>
        <a:ext cx="1080300" cy="1080300"/>
      </dsp:txXfrm>
    </dsp:sp>
    <dsp:sp modelId="{100234A2-2249-40F5-82B1-0CAB48B2CDE5}">
      <dsp:nvSpPr>
        <dsp:cNvPr id="0" name=""/>
        <dsp:cNvSpPr/>
      </dsp:nvSpPr>
      <dsp:spPr>
        <a:xfrm rot="2160000">
          <a:off x="3785898" y="1174189"/>
          <a:ext cx="405106" cy="5156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50" b="1" kern="1200"/>
        </a:p>
      </dsp:txBody>
      <dsp:txXfrm>
        <a:off x="3797503" y="1241597"/>
        <a:ext cx="283574" cy="309373"/>
      </dsp:txXfrm>
    </dsp:sp>
    <dsp:sp modelId="{0D4D28F6-7B03-4AC2-B747-47C2B2C3C079}">
      <dsp:nvSpPr>
        <dsp:cNvPr id="0" name=""/>
        <dsp:cNvSpPr/>
      </dsp:nvSpPr>
      <dsp:spPr>
        <a:xfrm>
          <a:off x="4161025" y="1348492"/>
          <a:ext cx="1527774" cy="1527774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b="1" kern="1200"/>
            <a:t>Recommendations made</a:t>
          </a:r>
        </a:p>
      </dsp:txBody>
      <dsp:txXfrm>
        <a:off x="4384762" y="1572229"/>
        <a:ext cx="1080300" cy="1080300"/>
      </dsp:txXfrm>
    </dsp:sp>
    <dsp:sp modelId="{ECF8D677-FB1F-4270-88C8-1B1E43EB9968}">
      <dsp:nvSpPr>
        <dsp:cNvPr id="0" name=""/>
        <dsp:cNvSpPr/>
      </dsp:nvSpPr>
      <dsp:spPr>
        <a:xfrm rot="6480000">
          <a:off x="4371748" y="2933634"/>
          <a:ext cx="405106" cy="5156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50" b="1" kern="1200"/>
        </a:p>
      </dsp:txBody>
      <dsp:txXfrm rot="10800000">
        <a:off x="4451292" y="2978967"/>
        <a:ext cx="283574" cy="309373"/>
      </dsp:txXfrm>
    </dsp:sp>
    <dsp:sp modelId="{73FC1121-4AD4-4683-9528-742D1C49A957}">
      <dsp:nvSpPr>
        <dsp:cNvPr id="0" name=""/>
        <dsp:cNvSpPr/>
      </dsp:nvSpPr>
      <dsp:spPr>
        <a:xfrm>
          <a:off x="3452718" y="3528434"/>
          <a:ext cx="1527774" cy="152777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b="1" kern="1200"/>
            <a:t>Implementation gap</a:t>
          </a:r>
        </a:p>
      </dsp:txBody>
      <dsp:txXfrm>
        <a:off x="3676455" y="3752171"/>
        <a:ext cx="1080300" cy="1080300"/>
      </dsp:txXfrm>
    </dsp:sp>
    <dsp:sp modelId="{EEA1B322-B931-4464-ADD6-1A663211CCBC}">
      <dsp:nvSpPr>
        <dsp:cNvPr id="0" name=""/>
        <dsp:cNvSpPr/>
      </dsp:nvSpPr>
      <dsp:spPr>
        <a:xfrm rot="10800000">
          <a:off x="2879454" y="4034510"/>
          <a:ext cx="405106" cy="5156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50" b="1" kern="1200"/>
        </a:p>
      </dsp:txBody>
      <dsp:txXfrm rot="10800000">
        <a:off x="3000986" y="4137635"/>
        <a:ext cx="283574" cy="309373"/>
      </dsp:txXfrm>
    </dsp:sp>
    <dsp:sp modelId="{EE31439D-91F1-4DB0-A4DD-D43C8BCDC878}">
      <dsp:nvSpPr>
        <dsp:cNvPr id="0" name=""/>
        <dsp:cNvSpPr/>
      </dsp:nvSpPr>
      <dsp:spPr>
        <a:xfrm>
          <a:off x="1160591" y="3528434"/>
          <a:ext cx="1527774" cy="152777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b="1" kern="1200"/>
            <a:t>Accountability gap</a:t>
          </a:r>
        </a:p>
      </dsp:txBody>
      <dsp:txXfrm>
        <a:off x="1384328" y="3752171"/>
        <a:ext cx="1080300" cy="1080300"/>
      </dsp:txXfrm>
    </dsp:sp>
    <dsp:sp modelId="{D6A146E6-40DC-4496-97FB-F7117DA42B2A}">
      <dsp:nvSpPr>
        <dsp:cNvPr id="0" name=""/>
        <dsp:cNvSpPr/>
      </dsp:nvSpPr>
      <dsp:spPr>
        <a:xfrm rot="15120000">
          <a:off x="1371315" y="2955442"/>
          <a:ext cx="405106" cy="5156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50" b="1" kern="1200"/>
        </a:p>
      </dsp:txBody>
      <dsp:txXfrm rot="10800000">
        <a:off x="1450859" y="3116359"/>
        <a:ext cx="283574" cy="309373"/>
      </dsp:txXfrm>
    </dsp:sp>
    <dsp:sp modelId="{84B996E1-86BB-4BE3-86A8-4E429A3EB2F0}">
      <dsp:nvSpPr>
        <dsp:cNvPr id="0" name=""/>
        <dsp:cNvSpPr/>
      </dsp:nvSpPr>
      <dsp:spPr>
        <a:xfrm>
          <a:off x="452285" y="1348492"/>
          <a:ext cx="1527774" cy="1527774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b="1" kern="1200"/>
            <a:t>Opportunity for research</a:t>
          </a:r>
        </a:p>
      </dsp:txBody>
      <dsp:txXfrm>
        <a:off x="676022" y="1572229"/>
        <a:ext cx="1080300" cy="1080300"/>
      </dsp:txXfrm>
    </dsp:sp>
    <dsp:sp modelId="{A538C389-BE2B-4F21-B3DC-D9A7C5757B7C}">
      <dsp:nvSpPr>
        <dsp:cNvPr id="0" name=""/>
        <dsp:cNvSpPr/>
      </dsp:nvSpPr>
      <dsp:spPr>
        <a:xfrm rot="19440000">
          <a:off x="1931528" y="1187667"/>
          <a:ext cx="405106" cy="5156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50" b="1" kern="1200"/>
        </a:p>
      </dsp:txBody>
      <dsp:txXfrm>
        <a:off x="1943133" y="1326509"/>
        <a:ext cx="283574" cy="309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NDRP theme colours">
  <a:themeElements>
    <a:clrScheme name="NDRP">
      <a:dk1>
        <a:srgbClr val="2C3849"/>
      </a:dk1>
      <a:lt1>
        <a:srgbClr val="FFFFFF"/>
      </a:lt1>
      <a:dk2>
        <a:srgbClr val="44546A"/>
      </a:dk2>
      <a:lt2>
        <a:srgbClr val="CCCCCC"/>
      </a:lt2>
      <a:accent1>
        <a:srgbClr val="2C3849"/>
      </a:accent1>
      <a:accent2>
        <a:srgbClr val="ED7D31"/>
      </a:accent2>
      <a:accent3>
        <a:srgbClr val="4488AB"/>
      </a:accent3>
      <a:accent4>
        <a:srgbClr val="BF4593"/>
      </a:accent4>
      <a:accent5>
        <a:srgbClr val="614393"/>
      </a:accent5>
      <a:accent6>
        <a:srgbClr val="969CA3"/>
      </a:accent6>
      <a:hlink>
        <a:srgbClr val="614393"/>
      </a:hlink>
      <a:folHlink>
        <a:srgbClr val="BF45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96173B4847469E32F425E3CE4126" ma:contentTypeVersion="15" ma:contentTypeDescription="Create a new document." ma:contentTypeScope="" ma:versionID="8f021c4b3e39c323a43f25195499afc8">
  <xsd:schema xmlns:xsd="http://www.w3.org/2001/XMLSchema" xmlns:xs="http://www.w3.org/2001/XMLSchema" xmlns:p="http://schemas.microsoft.com/office/2006/metadata/properties" xmlns:ns2="ea808239-00a6-4215-a9d6-fc520209ca30" xmlns:ns3="b5b74ce5-51f5-40a1-8d3c-0236fd03e9e3" targetNamespace="http://schemas.microsoft.com/office/2006/metadata/properties" ma:root="true" ma:fieldsID="1acad6f33b2f7aa84c740e8fd0edcfe5" ns2:_="" ns3:_="">
    <xsd:import namespace="ea808239-00a6-4215-a9d6-fc520209ca30"/>
    <xsd:import namespace="b5b74ce5-51f5-40a1-8d3c-0236fd03e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8239-00a6-4215-a9d6-fc520209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be9083-261f-452b-bc9f-1630fe0d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74ce5-51f5-40a1-8d3c-0236fd03e9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60cf1-0b6a-4407-9fb9-81ea43c697c4}" ma:internalName="TaxCatchAll" ma:showField="CatchAllData" ma:web="b5b74ce5-51f5-40a1-8d3c-0236fd03e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08239-00a6-4215-a9d6-fc520209ca30">
      <Terms xmlns="http://schemas.microsoft.com/office/infopath/2007/PartnerControls"/>
    </lcf76f155ced4ddcb4097134ff3c332f>
    <TaxCatchAll xmlns="b5b74ce5-51f5-40a1-8d3c-0236fd03e9e3" xsi:nil="true"/>
  </documentManagement>
</p:properties>
</file>

<file path=customXml/itemProps1.xml><?xml version="1.0" encoding="utf-8"?>
<ds:datastoreItem xmlns:ds="http://schemas.openxmlformats.org/officeDocument/2006/customXml" ds:itemID="{1E075E30-02C1-4007-B98B-4D2F672E1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BECB6-F14D-4610-8F1D-AAD903309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08239-00a6-4215-a9d6-fc520209ca30"/>
    <ds:schemaRef ds:uri="b5b74ce5-51f5-40a1-8d3c-0236fd03e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FBBBE-55E5-434A-A018-A4CFB62E238F}">
  <ds:schemaRefs>
    <ds:schemaRef ds:uri="http://schemas.microsoft.com/office/2006/metadata/properties"/>
    <ds:schemaRef ds:uri="http://schemas.microsoft.com/office/infopath/2007/PartnerControls"/>
    <ds:schemaRef ds:uri="ea808239-00a6-4215-a9d6-fc520209ca30"/>
    <ds:schemaRef ds:uri="b5b74ce5-51f5-40a1-8d3c-0236fd03e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Normal%20NDRP.dotx</Template>
  <TotalTime>1201</TotalTime>
  <Pages>1</Pages>
  <Words>2405</Words>
  <Characters>13711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Links>
    <vt:vector size="222" baseType="variant">
      <vt:variant>
        <vt:i4>5373964</vt:i4>
      </vt:variant>
      <vt:variant>
        <vt:i4>150</vt:i4>
      </vt:variant>
      <vt:variant>
        <vt:i4>0</vt:i4>
      </vt:variant>
      <vt:variant>
        <vt:i4>5</vt:i4>
      </vt:variant>
      <vt:variant>
        <vt:lpwstr>https://oia.pmc.gov.au/published-impact-analyses-and-reports/disability-standards-accessible-public-transport-2002-0</vt:lpwstr>
      </vt:variant>
      <vt:variant>
        <vt:lpwstr/>
      </vt:variant>
      <vt:variant>
        <vt:i4>3539057</vt:i4>
      </vt:variant>
      <vt:variant>
        <vt:i4>147</vt:i4>
      </vt:variant>
      <vt:variant>
        <vt:i4>0</vt:i4>
      </vt:variant>
      <vt:variant>
        <vt:i4>5</vt:i4>
      </vt:variant>
      <vt:variant>
        <vt:lpwstr>https://oecd-opsi.org/toolkits/australia-digital-service-standard/</vt:lpwstr>
      </vt:variant>
      <vt:variant>
        <vt:lpwstr/>
      </vt:variant>
      <vt:variant>
        <vt:i4>1441821</vt:i4>
      </vt:variant>
      <vt:variant>
        <vt:i4>144</vt:i4>
      </vt:variant>
      <vt:variant>
        <vt:i4>0</vt:i4>
      </vt:variant>
      <vt:variant>
        <vt:i4>5</vt:i4>
      </vt:variant>
      <vt:variant>
        <vt:lpwstr>https://humanrights.gov.au/resource-hub/by-resource-type/guidelines-and-standards/guides-and-standards-disability-rights/chapter-3-standards-and-guidelines-digital-accessibility</vt:lpwstr>
      </vt:variant>
      <vt:variant>
        <vt:lpwstr/>
      </vt:variant>
      <vt:variant>
        <vt:i4>1900562</vt:i4>
      </vt:variant>
      <vt:variant>
        <vt:i4>141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/>
      </vt:variant>
      <vt:variant>
        <vt:i4>2293870</vt:i4>
      </vt:variant>
      <vt:variant>
        <vt:i4>138</vt:i4>
      </vt:variant>
      <vt:variant>
        <vt:i4>0</vt:i4>
      </vt:variant>
      <vt:variant>
        <vt:i4>5</vt:i4>
      </vt:variant>
      <vt:variant>
        <vt:lpwstr>https://www.ohchr.org/en/instruments-mechanisms/instruments/convention-rights-persons-disabilities</vt:lpwstr>
      </vt:variant>
      <vt:variant>
        <vt:lpwstr/>
      </vt:variant>
      <vt:variant>
        <vt:i4>7536701</vt:i4>
      </vt:variant>
      <vt:variant>
        <vt:i4>135</vt:i4>
      </vt:variant>
      <vt:variant>
        <vt:i4>0</vt:i4>
      </vt:variant>
      <vt:variant>
        <vt:i4>5</vt:i4>
      </vt:variant>
      <vt:variant>
        <vt:lpwstr>https://apo.org.au/node/324486</vt:lpwstr>
      </vt:variant>
      <vt:variant>
        <vt:lpwstr/>
      </vt:variant>
      <vt:variant>
        <vt:i4>7667766</vt:i4>
      </vt:variant>
      <vt:variant>
        <vt:i4>132</vt:i4>
      </vt:variant>
      <vt:variant>
        <vt:i4>0</vt:i4>
      </vt:variant>
      <vt:variant>
        <vt:i4>5</vt:i4>
      </vt:variant>
      <vt:variant>
        <vt:lpwstr>https://apo.org.au/node/267616</vt:lpwstr>
      </vt:variant>
      <vt:variant>
        <vt:lpwstr/>
      </vt:variant>
      <vt:variant>
        <vt:i4>6946929</vt:i4>
      </vt:variant>
      <vt:variant>
        <vt:i4>129</vt:i4>
      </vt:variant>
      <vt:variant>
        <vt:i4>0</vt:i4>
      </vt:variant>
      <vt:variant>
        <vt:i4>5</vt:i4>
      </vt:variant>
      <vt:variant>
        <vt:lpwstr>https://www.pc.gov.au/inquiries-and-research/disability-support/report/</vt:lpwstr>
      </vt:variant>
      <vt:variant>
        <vt:lpwstr/>
      </vt:variant>
      <vt:variant>
        <vt:i4>6815850</vt:i4>
      </vt:variant>
      <vt:variant>
        <vt:i4>126</vt:i4>
      </vt:variant>
      <vt:variant>
        <vt:i4>0</vt:i4>
      </vt:variant>
      <vt:variant>
        <vt:i4>5</vt:i4>
      </vt:variant>
      <vt:variant>
        <vt:lpwstr>https://universaldesignaustralia.net.au/wp-content/uploads/2017/08/lhaguidlineseditionno4-2017.pdf</vt:lpwstr>
      </vt:variant>
      <vt:variant>
        <vt:lpwstr/>
      </vt:variant>
      <vt:variant>
        <vt:i4>1638456</vt:i4>
      </vt:variant>
      <vt:variant>
        <vt:i4>123</vt:i4>
      </vt:variant>
      <vt:variant>
        <vt:i4>0</vt:i4>
      </vt:variant>
      <vt:variant>
        <vt:i4>5</vt:i4>
      </vt:variant>
      <vt:variant>
        <vt:lpwstr>https://cyda.org.au/wp-content/uploads/2023/08/supported_school_transport_ndis-1.pdf</vt:lpwstr>
      </vt:variant>
      <vt:variant>
        <vt:lpwstr/>
      </vt:variant>
      <vt:variant>
        <vt:i4>1114114</vt:i4>
      </vt:variant>
      <vt:variant>
        <vt:i4>120</vt:i4>
      </vt:variant>
      <vt:variant>
        <vt:i4>0</vt:i4>
      </vt:variant>
      <vt:variant>
        <vt:i4>5</vt:i4>
      </vt:variant>
      <vt:variant>
        <vt:lpwstr>https://centreforinclusivedesign.org.au/wp-content/uploads/2021/05/inclusive-design-report-digital-160519.pdf</vt:lpwstr>
      </vt:variant>
      <vt:variant>
        <vt:lpwstr/>
      </vt:variant>
      <vt:variant>
        <vt:i4>7929914</vt:i4>
      </vt:variant>
      <vt:variant>
        <vt:i4>117</vt:i4>
      </vt:variant>
      <vt:variant>
        <vt:i4>0</vt:i4>
      </vt:variant>
      <vt:variant>
        <vt:i4>5</vt:i4>
      </vt:variant>
      <vt:variant>
        <vt:lpwstr>https://www.abcb.gov.au/sites/default/files/resources/2022/ABCB Board Matters Review Report.pdf</vt:lpwstr>
      </vt:variant>
      <vt:variant>
        <vt:lpwstr/>
      </vt:variant>
      <vt:variant>
        <vt:i4>7077926</vt:i4>
      </vt:variant>
      <vt:variant>
        <vt:i4>114</vt:i4>
      </vt:variant>
      <vt:variant>
        <vt:i4>0</vt:i4>
      </vt:variant>
      <vt:variant>
        <vt:i4>5</vt:i4>
      </vt:variant>
      <vt:variant>
        <vt:lpwstr>https://www.aihw.gov.au/reports/disability/people-with-disability-in-australia/contents/summary</vt:lpwstr>
      </vt:variant>
      <vt:variant>
        <vt:lpwstr/>
      </vt:variant>
      <vt:variant>
        <vt:i4>5177367</vt:i4>
      </vt:variant>
      <vt:variant>
        <vt:i4>111</vt:i4>
      </vt:variant>
      <vt:variant>
        <vt:i4>0</vt:i4>
      </vt:variant>
      <vt:variant>
        <vt:i4>5</vt:i4>
      </vt:variant>
      <vt:variant>
        <vt:lpwstr>https://knowledge.aidr.org.au/collections/disability-inclusion-and-disasters/</vt:lpwstr>
      </vt:variant>
      <vt:variant>
        <vt:lpwstr/>
      </vt:variant>
      <vt:variant>
        <vt:i4>3735652</vt:i4>
      </vt:variant>
      <vt:variant>
        <vt:i4>108</vt:i4>
      </vt:variant>
      <vt:variant>
        <vt:i4>0</vt:i4>
      </vt:variant>
      <vt:variant>
        <vt:i4>5</vt:i4>
      </vt:variant>
      <vt:variant>
        <vt:lpwstr>https://humanrights.gov.au/resource-hub/by-resource-type/guidelines-and-standards/guides-and-standards-disability-rights/chapter-3-standards-and-guidelines-digital-accessibility/</vt:lpwstr>
      </vt:variant>
      <vt:variant>
        <vt:lpwstr/>
      </vt:variant>
      <vt:variant>
        <vt:i4>4587604</vt:i4>
      </vt:variant>
      <vt:variant>
        <vt:i4>105</vt:i4>
      </vt:variant>
      <vt:variant>
        <vt:i4>0</vt:i4>
      </vt:variant>
      <vt:variant>
        <vt:i4>5</vt:i4>
      </vt:variant>
      <vt:variant>
        <vt:lpwstr>https://www.disabilitygateway.gov.au/ads/strategy</vt:lpwstr>
      </vt:variant>
      <vt:variant>
        <vt:lpwstr/>
      </vt:variant>
      <vt:variant>
        <vt:i4>6357043</vt:i4>
      </vt:variant>
      <vt:variant>
        <vt:i4>102</vt:i4>
      </vt:variant>
      <vt:variant>
        <vt:i4>0</vt:i4>
      </vt:variant>
      <vt:variant>
        <vt:i4>5</vt:i4>
      </vt:variant>
      <vt:variant>
        <vt:lpwstr>https://apo.org.au/node/18454/</vt:lpwstr>
      </vt:variant>
      <vt:variant>
        <vt:lpwstr/>
      </vt:variant>
      <vt:variant>
        <vt:i4>5636172</vt:i4>
      </vt:variant>
      <vt:variant>
        <vt:i4>96</vt:i4>
      </vt:variant>
      <vt:variant>
        <vt:i4>0</vt:i4>
      </vt:variant>
      <vt:variant>
        <vt:i4>5</vt:i4>
      </vt:variant>
      <vt:variant>
        <vt:lpwstr>https://youtu.be/5ua3cV3PPXc</vt:lpwstr>
      </vt:variant>
      <vt:variant>
        <vt:lpwstr/>
      </vt:variant>
      <vt:variant>
        <vt:i4>720904</vt:i4>
      </vt:variant>
      <vt:variant>
        <vt:i4>93</vt:i4>
      </vt:variant>
      <vt:variant>
        <vt:i4>0</vt:i4>
      </vt:variant>
      <vt:variant>
        <vt:i4>5</vt:i4>
      </vt:variant>
      <vt:variant>
        <vt:lpwstr>https://youtu.be/KvpjmGdTls4</vt:lpwstr>
      </vt:variant>
      <vt:variant>
        <vt:lpwstr/>
      </vt:variant>
      <vt:variant>
        <vt:i4>5832776</vt:i4>
      </vt:variant>
      <vt:variant>
        <vt:i4>90</vt:i4>
      </vt:variant>
      <vt:variant>
        <vt:i4>0</vt:i4>
      </vt:variant>
      <vt:variant>
        <vt:i4>5</vt:i4>
      </vt:variant>
      <vt:variant>
        <vt:lpwstr>https://youtu.be/XsViBHM-JCs</vt:lpwstr>
      </vt:variant>
      <vt:variant>
        <vt:lpwstr/>
      </vt:variant>
      <vt:variant>
        <vt:i4>1376333</vt:i4>
      </vt:variant>
      <vt:variant>
        <vt:i4>87</vt:i4>
      </vt:variant>
      <vt:variant>
        <vt:i4>0</vt:i4>
      </vt:variant>
      <vt:variant>
        <vt:i4>5</vt:i4>
      </vt:variant>
      <vt:variant>
        <vt:lpwstr>https://youtu.be/M-mzFzBx5LE</vt:lpwstr>
      </vt:variant>
      <vt:variant>
        <vt:lpwstr/>
      </vt:variant>
      <vt:variant>
        <vt:i4>2424956</vt:i4>
      </vt:variant>
      <vt:variant>
        <vt:i4>84</vt:i4>
      </vt:variant>
      <vt:variant>
        <vt:i4>0</vt:i4>
      </vt:variant>
      <vt:variant>
        <vt:i4>5</vt:i4>
      </vt:variant>
      <vt:variant>
        <vt:lpwstr>https://441682787.fs1.hubspotusercontent-ap1.net/hubfs/441682787/Evidence to Action/Mar Apr 26/NDRP What To Expect ETA Accessible and Inclusive Communities Event 23 March 2026 v1.docx</vt:lpwstr>
      </vt:variant>
      <vt:variant>
        <vt:lpwstr/>
      </vt:variant>
      <vt:variant>
        <vt:i4>6815800</vt:i4>
      </vt:variant>
      <vt:variant>
        <vt:i4>81</vt:i4>
      </vt:variant>
      <vt:variant>
        <vt:i4>0</vt:i4>
      </vt:variant>
      <vt:variant>
        <vt:i4>5</vt:i4>
      </vt:variant>
      <vt:variant>
        <vt:lpwstr>https://www.ndrp.org.au/researchagenda</vt:lpwstr>
      </vt:variant>
      <vt:variant>
        <vt:lpwstr/>
      </vt:variant>
      <vt:variant>
        <vt:i4>1638454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_Toc223944317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_Toc223944316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_Toc223944315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_Toc223944314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_Toc223944313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_Toc223944312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_Toc223944311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_Toc223944310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_Toc223944309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_Toc223944308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_Toc223944307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_Toc223944306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_Toc223944305</vt:lpwstr>
      </vt:variant>
      <vt:variant>
        <vt:i4>3145773</vt:i4>
      </vt:variant>
      <vt:variant>
        <vt:i4>3</vt:i4>
      </vt:variant>
      <vt:variant>
        <vt:i4>0</vt:i4>
      </vt:variant>
      <vt:variant>
        <vt:i4>5</vt:i4>
      </vt:variant>
      <vt:variant>
        <vt:lpwstr>http://www.ndrp.org.au/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Tape</dc:creator>
  <cp:keywords/>
  <dc:description/>
  <cp:lastModifiedBy>Sue Tape</cp:lastModifiedBy>
  <cp:revision>197</cp:revision>
  <dcterms:created xsi:type="dcterms:W3CDTF">2026-02-13T08:27:00Z</dcterms:created>
  <dcterms:modified xsi:type="dcterms:W3CDTF">2026-03-09T01:35:00Z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0x0101006C0D96173B4847469E32F425E3CE4126</vt:lpwstr>
  </property>
</Properties>
</file>